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71415" w14:textId="77777777" w:rsidR="007B3461" w:rsidRDefault="007B3461" w:rsidP="000F60A8">
      <w:pPr>
        <w:pStyle w:val="Titre"/>
        <w:jc w:val="both"/>
      </w:pPr>
      <w:r>
        <w:t>Etat de l’art</w:t>
      </w:r>
    </w:p>
    <w:sdt>
      <w:sdtPr>
        <w:rPr>
          <w:rFonts w:asciiTheme="minorHAnsi" w:eastAsiaTheme="minorHAnsi" w:hAnsiTheme="minorHAnsi" w:cstheme="minorBidi"/>
          <w:color w:val="auto"/>
          <w:sz w:val="22"/>
          <w:szCs w:val="22"/>
          <w:lang w:eastAsia="en-US"/>
        </w:rPr>
        <w:id w:val="1369098868"/>
        <w:docPartObj>
          <w:docPartGallery w:val="Table of Contents"/>
          <w:docPartUnique/>
        </w:docPartObj>
      </w:sdtPr>
      <w:sdtEndPr>
        <w:rPr>
          <w:rFonts w:eastAsia="Batang"/>
          <w:b/>
          <w:bCs/>
        </w:rPr>
      </w:sdtEndPr>
      <w:sdtContent>
        <w:p w14:paraId="1A8A4E2F" w14:textId="77777777" w:rsidR="000505C3" w:rsidRDefault="000505C3" w:rsidP="000F60A8">
          <w:pPr>
            <w:pStyle w:val="En-ttedetabledesmatires"/>
            <w:jc w:val="both"/>
          </w:pPr>
          <w:r>
            <w:t>Table des matières</w:t>
          </w:r>
        </w:p>
        <w:p w14:paraId="6118A652" w14:textId="77777777" w:rsidR="00B62C32" w:rsidRDefault="000505C3" w:rsidP="000F60A8">
          <w:pPr>
            <w:pStyle w:val="TM1"/>
            <w:tabs>
              <w:tab w:val="left" w:pos="440"/>
              <w:tab w:val="right" w:leader="dot" w:pos="9062"/>
            </w:tabs>
            <w:jc w:val="both"/>
            <w:rPr>
              <w:rFonts w:eastAsiaTheme="minorEastAsia"/>
              <w:noProof/>
              <w:lang w:eastAsia="fr-FR"/>
            </w:rPr>
          </w:pPr>
          <w:r>
            <w:fldChar w:fldCharType="begin"/>
          </w:r>
          <w:r>
            <w:instrText xml:space="preserve"> TOC \o "1-3" \h \z \u </w:instrText>
          </w:r>
          <w:r>
            <w:fldChar w:fldCharType="separate"/>
          </w:r>
          <w:hyperlink w:anchor="_Toc104886650" w:history="1">
            <w:r w:rsidR="00B62C32" w:rsidRPr="00E8231D">
              <w:rPr>
                <w:rStyle w:val="Lienhypertexte"/>
                <w:noProof/>
              </w:rPr>
              <w:t>1.</w:t>
            </w:r>
            <w:r w:rsidR="00B62C32">
              <w:rPr>
                <w:rFonts w:eastAsiaTheme="minorEastAsia"/>
                <w:noProof/>
                <w:lang w:eastAsia="fr-FR"/>
              </w:rPr>
              <w:tab/>
            </w:r>
            <w:r w:rsidR="00B62C32" w:rsidRPr="00E8231D">
              <w:rPr>
                <w:rStyle w:val="Lienhypertexte"/>
                <w:noProof/>
              </w:rPr>
              <w:t>Goniométrie</w:t>
            </w:r>
            <w:r w:rsidR="00B62C32">
              <w:rPr>
                <w:noProof/>
                <w:webHidden/>
              </w:rPr>
              <w:tab/>
            </w:r>
            <w:r w:rsidR="00B62C32">
              <w:rPr>
                <w:noProof/>
                <w:webHidden/>
              </w:rPr>
              <w:fldChar w:fldCharType="begin"/>
            </w:r>
            <w:r w:rsidR="00B62C32">
              <w:rPr>
                <w:noProof/>
                <w:webHidden/>
              </w:rPr>
              <w:instrText xml:space="preserve"> PAGEREF _Toc104886650 \h </w:instrText>
            </w:r>
            <w:r w:rsidR="00B62C32">
              <w:rPr>
                <w:noProof/>
                <w:webHidden/>
              </w:rPr>
            </w:r>
            <w:r w:rsidR="00B62C32">
              <w:rPr>
                <w:noProof/>
                <w:webHidden/>
              </w:rPr>
              <w:fldChar w:fldCharType="separate"/>
            </w:r>
            <w:r w:rsidR="00B62C32">
              <w:rPr>
                <w:noProof/>
                <w:webHidden/>
              </w:rPr>
              <w:t>3</w:t>
            </w:r>
            <w:r w:rsidR="00B62C32">
              <w:rPr>
                <w:noProof/>
                <w:webHidden/>
              </w:rPr>
              <w:fldChar w:fldCharType="end"/>
            </w:r>
          </w:hyperlink>
        </w:p>
        <w:p w14:paraId="09B17108" w14:textId="77777777" w:rsidR="00B62C32" w:rsidRDefault="00B62C32" w:rsidP="000F60A8">
          <w:pPr>
            <w:pStyle w:val="TM2"/>
            <w:tabs>
              <w:tab w:val="left" w:pos="880"/>
              <w:tab w:val="right" w:leader="dot" w:pos="9062"/>
            </w:tabs>
            <w:jc w:val="both"/>
            <w:rPr>
              <w:rFonts w:eastAsiaTheme="minorEastAsia"/>
              <w:noProof/>
              <w:lang w:eastAsia="fr-FR"/>
            </w:rPr>
          </w:pPr>
          <w:hyperlink w:anchor="_Toc104886651" w:history="1">
            <w:r w:rsidRPr="00E8231D">
              <w:rPr>
                <w:rStyle w:val="Lienhypertexte"/>
                <w:noProof/>
              </w:rPr>
              <w:t>1.1.</w:t>
            </w:r>
            <w:r>
              <w:rPr>
                <w:rFonts w:eastAsiaTheme="minorEastAsia"/>
                <w:noProof/>
                <w:lang w:eastAsia="fr-FR"/>
              </w:rPr>
              <w:tab/>
            </w:r>
            <w:r w:rsidRPr="00E8231D">
              <w:rPr>
                <w:rStyle w:val="Lienhypertexte"/>
                <w:noProof/>
              </w:rPr>
              <w:t>Définition, historique et applications dans les domaines civil et militaire</w:t>
            </w:r>
            <w:r>
              <w:rPr>
                <w:noProof/>
                <w:webHidden/>
              </w:rPr>
              <w:tab/>
            </w:r>
            <w:r>
              <w:rPr>
                <w:noProof/>
                <w:webHidden/>
              </w:rPr>
              <w:fldChar w:fldCharType="begin"/>
            </w:r>
            <w:r>
              <w:rPr>
                <w:noProof/>
                <w:webHidden/>
              </w:rPr>
              <w:instrText xml:space="preserve"> PAGEREF _Toc104886651 \h </w:instrText>
            </w:r>
            <w:r>
              <w:rPr>
                <w:noProof/>
                <w:webHidden/>
              </w:rPr>
            </w:r>
            <w:r>
              <w:rPr>
                <w:noProof/>
                <w:webHidden/>
              </w:rPr>
              <w:fldChar w:fldCharType="separate"/>
            </w:r>
            <w:r>
              <w:rPr>
                <w:noProof/>
                <w:webHidden/>
              </w:rPr>
              <w:t>3</w:t>
            </w:r>
            <w:r>
              <w:rPr>
                <w:noProof/>
                <w:webHidden/>
              </w:rPr>
              <w:fldChar w:fldCharType="end"/>
            </w:r>
          </w:hyperlink>
        </w:p>
        <w:p w14:paraId="774A0031" w14:textId="77777777" w:rsidR="00B62C32" w:rsidRDefault="00B62C32" w:rsidP="000F60A8">
          <w:pPr>
            <w:pStyle w:val="TM2"/>
            <w:tabs>
              <w:tab w:val="left" w:pos="880"/>
              <w:tab w:val="right" w:leader="dot" w:pos="9062"/>
            </w:tabs>
            <w:jc w:val="both"/>
            <w:rPr>
              <w:rFonts w:eastAsiaTheme="minorEastAsia"/>
              <w:noProof/>
              <w:lang w:eastAsia="fr-FR"/>
            </w:rPr>
          </w:pPr>
          <w:hyperlink w:anchor="_Toc104886652" w:history="1">
            <w:r w:rsidRPr="00E8231D">
              <w:rPr>
                <w:rStyle w:val="Lienhypertexte"/>
                <w:noProof/>
              </w:rPr>
              <w:t>1.2.</w:t>
            </w:r>
            <w:r>
              <w:rPr>
                <w:rFonts w:eastAsiaTheme="minorEastAsia"/>
                <w:noProof/>
                <w:lang w:eastAsia="fr-FR"/>
              </w:rPr>
              <w:tab/>
            </w:r>
            <w:r w:rsidRPr="00E8231D">
              <w:rPr>
                <w:rStyle w:val="Lienhypertexte"/>
                <w:noProof/>
              </w:rPr>
              <w:t>Techniques de goniométrie</w:t>
            </w:r>
            <w:r>
              <w:rPr>
                <w:noProof/>
                <w:webHidden/>
              </w:rPr>
              <w:tab/>
            </w:r>
            <w:r>
              <w:rPr>
                <w:noProof/>
                <w:webHidden/>
              </w:rPr>
              <w:fldChar w:fldCharType="begin"/>
            </w:r>
            <w:r>
              <w:rPr>
                <w:noProof/>
                <w:webHidden/>
              </w:rPr>
              <w:instrText xml:space="preserve"> PAGEREF _Toc104886652 \h </w:instrText>
            </w:r>
            <w:r>
              <w:rPr>
                <w:noProof/>
                <w:webHidden/>
              </w:rPr>
            </w:r>
            <w:r>
              <w:rPr>
                <w:noProof/>
                <w:webHidden/>
              </w:rPr>
              <w:fldChar w:fldCharType="separate"/>
            </w:r>
            <w:r>
              <w:rPr>
                <w:noProof/>
                <w:webHidden/>
              </w:rPr>
              <w:t>3</w:t>
            </w:r>
            <w:r>
              <w:rPr>
                <w:noProof/>
                <w:webHidden/>
              </w:rPr>
              <w:fldChar w:fldCharType="end"/>
            </w:r>
          </w:hyperlink>
        </w:p>
        <w:p w14:paraId="6CF65228"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53" w:history="1">
            <w:r w:rsidRPr="00E8231D">
              <w:rPr>
                <w:rStyle w:val="Lienhypertexte"/>
                <w:noProof/>
              </w:rPr>
              <w:t>1.2.1.</w:t>
            </w:r>
            <w:r>
              <w:rPr>
                <w:rFonts w:eastAsiaTheme="minorEastAsia"/>
                <w:noProof/>
                <w:lang w:eastAsia="fr-FR"/>
              </w:rPr>
              <w:tab/>
            </w:r>
            <w:r w:rsidRPr="00E8231D">
              <w:rPr>
                <w:rStyle w:val="Lienhypertexte"/>
                <w:noProof/>
              </w:rPr>
              <w:t>Comparaison d’amplitude</w:t>
            </w:r>
            <w:r>
              <w:rPr>
                <w:noProof/>
                <w:webHidden/>
              </w:rPr>
              <w:tab/>
            </w:r>
            <w:r>
              <w:rPr>
                <w:noProof/>
                <w:webHidden/>
              </w:rPr>
              <w:fldChar w:fldCharType="begin"/>
            </w:r>
            <w:r>
              <w:rPr>
                <w:noProof/>
                <w:webHidden/>
              </w:rPr>
              <w:instrText xml:space="preserve"> PAGEREF _Toc104886653 \h </w:instrText>
            </w:r>
            <w:r>
              <w:rPr>
                <w:noProof/>
                <w:webHidden/>
              </w:rPr>
            </w:r>
            <w:r>
              <w:rPr>
                <w:noProof/>
                <w:webHidden/>
              </w:rPr>
              <w:fldChar w:fldCharType="separate"/>
            </w:r>
            <w:r>
              <w:rPr>
                <w:noProof/>
                <w:webHidden/>
              </w:rPr>
              <w:t>4</w:t>
            </w:r>
            <w:r>
              <w:rPr>
                <w:noProof/>
                <w:webHidden/>
              </w:rPr>
              <w:fldChar w:fldCharType="end"/>
            </w:r>
          </w:hyperlink>
        </w:p>
        <w:p w14:paraId="40BABA33"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54" w:history="1">
            <w:r w:rsidRPr="00E8231D">
              <w:rPr>
                <w:rStyle w:val="Lienhypertexte"/>
                <w:noProof/>
              </w:rPr>
              <w:t>1.2.2.</w:t>
            </w:r>
            <w:r>
              <w:rPr>
                <w:rFonts w:eastAsiaTheme="minorEastAsia"/>
                <w:noProof/>
                <w:lang w:eastAsia="fr-FR"/>
              </w:rPr>
              <w:tab/>
            </w:r>
            <w:r w:rsidRPr="00E8231D">
              <w:rPr>
                <w:rStyle w:val="Lienhypertexte"/>
                <w:noProof/>
              </w:rPr>
              <w:t>Comparaison fréquentielle</w:t>
            </w:r>
            <w:r>
              <w:rPr>
                <w:noProof/>
                <w:webHidden/>
              </w:rPr>
              <w:tab/>
            </w:r>
            <w:r>
              <w:rPr>
                <w:noProof/>
                <w:webHidden/>
              </w:rPr>
              <w:fldChar w:fldCharType="begin"/>
            </w:r>
            <w:r>
              <w:rPr>
                <w:noProof/>
                <w:webHidden/>
              </w:rPr>
              <w:instrText xml:space="preserve"> PAGEREF _Toc104886654 \h </w:instrText>
            </w:r>
            <w:r>
              <w:rPr>
                <w:noProof/>
                <w:webHidden/>
              </w:rPr>
            </w:r>
            <w:r>
              <w:rPr>
                <w:noProof/>
                <w:webHidden/>
              </w:rPr>
              <w:fldChar w:fldCharType="separate"/>
            </w:r>
            <w:r>
              <w:rPr>
                <w:noProof/>
                <w:webHidden/>
              </w:rPr>
              <w:t>6</w:t>
            </w:r>
            <w:r>
              <w:rPr>
                <w:noProof/>
                <w:webHidden/>
              </w:rPr>
              <w:fldChar w:fldCharType="end"/>
            </w:r>
          </w:hyperlink>
        </w:p>
        <w:p w14:paraId="5685FF22"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55" w:history="1">
            <w:r w:rsidRPr="00E8231D">
              <w:rPr>
                <w:rStyle w:val="Lienhypertexte"/>
                <w:noProof/>
              </w:rPr>
              <w:t>1.2.3.</w:t>
            </w:r>
            <w:r>
              <w:rPr>
                <w:rFonts w:eastAsiaTheme="minorEastAsia"/>
                <w:noProof/>
                <w:lang w:eastAsia="fr-FR"/>
              </w:rPr>
              <w:tab/>
            </w:r>
            <w:r w:rsidRPr="00E8231D">
              <w:rPr>
                <w:rStyle w:val="Lienhypertexte"/>
                <w:noProof/>
              </w:rPr>
              <w:t>Comparaison temporelle</w:t>
            </w:r>
            <w:r>
              <w:rPr>
                <w:noProof/>
                <w:webHidden/>
              </w:rPr>
              <w:tab/>
            </w:r>
            <w:r>
              <w:rPr>
                <w:noProof/>
                <w:webHidden/>
              </w:rPr>
              <w:fldChar w:fldCharType="begin"/>
            </w:r>
            <w:r>
              <w:rPr>
                <w:noProof/>
                <w:webHidden/>
              </w:rPr>
              <w:instrText xml:space="preserve"> PAGEREF _Toc104886655 \h </w:instrText>
            </w:r>
            <w:r>
              <w:rPr>
                <w:noProof/>
                <w:webHidden/>
              </w:rPr>
            </w:r>
            <w:r>
              <w:rPr>
                <w:noProof/>
                <w:webHidden/>
              </w:rPr>
              <w:fldChar w:fldCharType="separate"/>
            </w:r>
            <w:r>
              <w:rPr>
                <w:noProof/>
                <w:webHidden/>
              </w:rPr>
              <w:t>9</w:t>
            </w:r>
            <w:r>
              <w:rPr>
                <w:noProof/>
                <w:webHidden/>
              </w:rPr>
              <w:fldChar w:fldCharType="end"/>
            </w:r>
          </w:hyperlink>
        </w:p>
        <w:p w14:paraId="6D999590"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56" w:history="1">
            <w:r w:rsidRPr="00E8231D">
              <w:rPr>
                <w:rStyle w:val="Lienhypertexte"/>
                <w:noProof/>
              </w:rPr>
              <w:t>1.2.4.</w:t>
            </w:r>
            <w:r>
              <w:rPr>
                <w:rFonts w:eastAsiaTheme="minorEastAsia"/>
                <w:noProof/>
                <w:lang w:eastAsia="fr-FR"/>
              </w:rPr>
              <w:tab/>
            </w:r>
            <w:r w:rsidRPr="00E8231D">
              <w:rPr>
                <w:rStyle w:val="Lienhypertexte"/>
                <w:noProof/>
              </w:rPr>
              <w:t>Interférométrie corrélative</w:t>
            </w:r>
            <w:r>
              <w:rPr>
                <w:noProof/>
                <w:webHidden/>
              </w:rPr>
              <w:tab/>
            </w:r>
            <w:r>
              <w:rPr>
                <w:noProof/>
                <w:webHidden/>
              </w:rPr>
              <w:fldChar w:fldCharType="begin"/>
            </w:r>
            <w:r>
              <w:rPr>
                <w:noProof/>
                <w:webHidden/>
              </w:rPr>
              <w:instrText xml:space="preserve"> PAGEREF _Toc104886656 \h </w:instrText>
            </w:r>
            <w:r>
              <w:rPr>
                <w:noProof/>
                <w:webHidden/>
              </w:rPr>
            </w:r>
            <w:r>
              <w:rPr>
                <w:noProof/>
                <w:webHidden/>
              </w:rPr>
              <w:fldChar w:fldCharType="separate"/>
            </w:r>
            <w:r>
              <w:rPr>
                <w:noProof/>
                <w:webHidden/>
              </w:rPr>
              <w:t>10</w:t>
            </w:r>
            <w:r>
              <w:rPr>
                <w:noProof/>
                <w:webHidden/>
              </w:rPr>
              <w:fldChar w:fldCharType="end"/>
            </w:r>
          </w:hyperlink>
        </w:p>
        <w:p w14:paraId="380BA9D4"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57" w:history="1">
            <w:r w:rsidRPr="00E8231D">
              <w:rPr>
                <w:rStyle w:val="Lienhypertexte"/>
                <w:noProof/>
              </w:rPr>
              <w:t>1.2.5.</w:t>
            </w:r>
            <w:r>
              <w:rPr>
                <w:rFonts w:eastAsiaTheme="minorEastAsia"/>
                <w:noProof/>
                <w:lang w:eastAsia="fr-FR"/>
              </w:rPr>
              <w:tab/>
            </w:r>
            <w:r w:rsidRPr="00E8231D">
              <w:rPr>
                <w:rStyle w:val="Lienhypertexte"/>
                <w:noProof/>
              </w:rPr>
              <w:t>Méthodes hybrides</w:t>
            </w:r>
            <w:r>
              <w:rPr>
                <w:noProof/>
                <w:webHidden/>
              </w:rPr>
              <w:tab/>
            </w:r>
            <w:r>
              <w:rPr>
                <w:noProof/>
                <w:webHidden/>
              </w:rPr>
              <w:fldChar w:fldCharType="begin"/>
            </w:r>
            <w:r>
              <w:rPr>
                <w:noProof/>
                <w:webHidden/>
              </w:rPr>
              <w:instrText xml:space="preserve"> PAGEREF _Toc104886657 \h </w:instrText>
            </w:r>
            <w:r>
              <w:rPr>
                <w:noProof/>
                <w:webHidden/>
              </w:rPr>
            </w:r>
            <w:r>
              <w:rPr>
                <w:noProof/>
                <w:webHidden/>
              </w:rPr>
              <w:fldChar w:fldCharType="separate"/>
            </w:r>
            <w:r>
              <w:rPr>
                <w:noProof/>
                <w:webHidden/>
              </w:rPr>
              <w:t>11</w:t>
            </w:r>
            <w:r>
              <w:rPr>
                <w:noProof/>
                <w:webHidden/>
              </w:rPr>
              <w:fldChar w:fldCharType="end"/>
            </w:r>
          </w:hyperlink>
        </w:p>
        <w:p w14:paraId="327EEEE0"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58" w:history="1">
            <w:r w:rsidRPr="00E8231D">
              <w:rPr>
                <w:rStyle w:val="Lienhypertexte"/>
                <w:noProof/>
              </w:rPr>
              <w:t>1.2.6.</w:t>
            </w:r>
            <w:r>
              <w:rPr>
                <w:rFonts w:eastAsiaTheme="minorEastAsia"/>
                <w:noProof/>
                <w:lang w:eastAsia="fr-FR"/>
              </w:rPr>
              <w:tab/>
            </w:r>
            <w:r w:rsidRPr="00E8231D">
              <w:rPr>
                <w:rStyle w:val="Lienhypertexte"/>
                <w:noProof/>
              </w:rPr>
              <w:t>Méthodes à haute résolution</w:t>
            </w:r>
            <w:r>
              <w:rPr>
                <w:noProof/>
                <w:webHidden/>
              </w:rPr>
              <w:tab/>
            </w:r>
            <w:r>
              <w:rPr>
                <w:noProof/>
                <w:webHidden/>
              </w:rPr>
              <w:fldChar w:fldCharType="begin"/>
            </w:r>
            <w:r>
              <w:rPr>
                <w:noProof/>
                <w:webHidden/>
              </w:rPr>
              <w:instrText xml:space="preserve"> PAGEREF _Toc104886658 \h </w:instrText>
            </w:r>
            <w:r>
              <w:rPr>
                <w:noProof/>
                <w:webHidden/>
              </w:rPr>
            </w:r>
            <w:r>
              <w:rPr>
                <w:noProof/>
                <w:webHidden/>
              </w:rPr>
              <w:fldChar w:fldCharType="separate"/>
            </w:r>
            <w:r>
              <w:rPr>
                <w:noProof/>
                <w:webHidden/>
              </w:rPr>
              <w:t>11</w:t>
            </w:r>
            <w:r>
              <w:rPr>
                <w:noProof/>
                <w:webHidden/>
              </w:rPr>
              <w:fldChar w:fldCharType="end"/>
            </w:r>
          </w:hyperlink>
        </w:p>
        <w:p w14:paraId="4A9EDE71" w14:textId="77777777" w:rsidR="00B62C32" w:rsidRDefault="00B62C32" w:rsidP="000F60A8">
          <w:pPr>
            <w:pStyle w:val="TM2"/>
            <w:tabs>
              <w:tab w:val="left" w:pos="880"/>
              <w:tab w:val="right" w:leader="dot" w:pos="9062"/>
            </w:tabs>
            <w:jc w:val="both"/>
            <w:rPr>
              <w:rFonts w:eastAsiaTheme="minorEastAsia"/>
              <w:noProof/>
              <w:lang w:eastAsia="fr-FR"/>
            </w:rPr>
          </w:pPr>
          <w:hyperlink w:anchor="_Toc104886659" w:history="1">
            <w:r w:rsidRPr="00E8231D">
              <w:rPr>
                <w:rStyle w:val="Lienhypertexte"/>
                <w:noProof/>
              </w:rPr>
              <w:t>1.3.</w:t>
            </w:r>
            <w:r>
              <w:rPr>
                <w:rFonts w:eastAsiaTheme="minorEastAsia"/>
                <w:noProof/>
                <w:lang w:eastAsia="fr-FR"/>
              </w:rPr>
              <w:tab/>
            </w:r>
            <w:r w:rsidRPr="00E8231D">
              <w:rPr>
                <w:rStyle w:val="Lienhypertexte"/>
                <w:noProof/>
              </w:rPr>
              <w:t>Indicateurs de la performance d’un radiogoniomètre</w:t>
            </w:r>
            <w:r>
              <w:rPr>
                <w:noProof/>
                <w:webHidden/>
              </w:rPr>
              <w:tab/>
            </w:r>
            <w:r>
              <w:rPr>
                <w:noProof/>
                <w:webHidden/>
              </w:rPr>
              <w:fldChar w:fldCharType="begin"/>
            </w:r>
            <w:r>
              <w:rPr>
                <w:noProof/>
                <w:webHidden/>
              </w:rPr>
              <w:instrText xml:space="preserve"> PAGEREF _Toc104886659 \h </w:instrText>
            </w:r>
            <w:r>
              <w:rPr>
                <w:noProof/>
                <w:webHidden/>
              </w:rPr>
            </w:r>
            <w:r>
              <w:rPr>
                <w:noProof/>
                <w:webHidden/>
              </w:rPr>
              <w:fldChar w:fldCharType="separate"/>
            </w:r>
            <w:r>
              <w:rPr>
                <w:noProof/>
                <w:webHidden/>
              </w:rPr>
              <w:t>12</w:t>
            </w:r>
            <w:r>
              <w:rPr>
                <w:noProof/>
                <w:webHidden/>
              </w:rPr>
              <w:fldChar w:fldCharType="end"/>
            </w:r>
          </w:hyperlink>
        </w:p>
        <w:p w14:paraId="4BC87170"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0" w:history="1">
            <w:r w:rsidRPr="00E8231D">
              <w:rPr>
                <w:rStyle w:val="Lienhypertexte"/>
                <w:noProof/>
              </w:rPr>
              <w:t>1.3.1.</w:t>
            </w:r>
            <w:r>
              <w:rPr>
                <w:rFonts w:eastAsiaTheme="minorEastAsia"/>
                <w:noProof/>
                <w:lang w:eastAsia="fr-FR"/>
              </w:rPr>
              <w:tab/>
            </w:r>
            <w:r w:rsidRPr="00E8231D">
              <w:rPr>
                <w:rStyle w:val="Lienhypertexte"/>
                <w:noProof/>
              </w:rPr>
              <w:t>Couverture angulaire</w:t>
            </w:r>
            <w:r>
              <w:rPr>
                <w:noProof/>
                <w:webHidden/>
              </w:rPr>
              <w:tab/>
            </w:r>
            <w:r>
              <w:rPr>
                <w:noProof/>
                <w:webHidden/>
              </w:rPr>
              <w:fldChar w:fldCharType="begin"/>
            </w:r>
            <w:r>
              <w:rPr>
                <w:noProof/>
                <w:webHidden/>
              </w:rPr>
              <w:instrText xml:space="preserve"> PAGEREF _Toc104886660 \h </w:instrText>
            </w:r>
            <w:r>
              <w:rPr>
                <w:noProof/>
                <w:webHidden/>
              </w:rPr>
            </w:r>
            <w:r>
              <w:rPr>
                <w:noProof/>
                <w:webHidden/>
              </w:rPr>
              <w:fldChar w:fldCharType="separate"/>
            </w:r>
            <w:r>
              <w:rPr>
                <w:noProof/>
                <w:webHidden/>
              </w:rPr>
              <w:t>12</w:t>
            </w:r>
            <w:r>
              <w:rPr>
                <w:noProof/>
                <w:webHidden/>
              </w:rPr>
              <w:fldChar w:fldCharType="end"/>
            </w:r>
          </w:hyperlink>
        </w:p>
        <w:p w14:paraId="63B4AE1A"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1" w:history="1">
            <w:r w:rsidRPr="00E8231D">
              <w:rPr>
                <w:rStyle w:val="Lienhypertexte"/>
                <w:noProof/>
              </w:rPr>
              <w:t>1.3.2.</w:t>
            </w:r>
            <w:r>
              <w:rPr>
                <w:rFonts w:eastAsiaTheme="minorEastAsia"/>
                <w:noProof/>
                <w:lang w:eastAsia="fr-FR"/>
              </w:rPr>
              <w:tab/>
            </w:r>
            <w:r w:rsidRPr="00E8231D">
              <w:rPr>
                <w:rStyle w:val="Lienhypertexte"/>
                <w:noProof/>
              </w:rPr>
              <w:t>Couverture fréquentielle</w:t>
            </w:r>
            <w:r>
              <w:rPr>
                <w:noProof/>
                <w:webHidden/>
              </w:rPr>
              <w:tab/>
            </w:r>
            <w:r>
              <w:rPr>
                <w:noProof/>
                <w:webHidden/>
              </w:rPr>
              <w:fldChar w:fldCharType="begin"/>
            </w:r>
            <w:r>
              <w:rPr>
                <w:noProof/>
                <w:webHidden/>
              </w:rPr>
              <w:instrText xml:space="preserve"> PAGEREF _Toc104886661 \h </w:instrText>
            </w:r>
            <w:r>
              <w:rPr>
                <w:noProof/>
                <w:webHidden/>
              </w:rPr>
            </w:r>
            <w:r>
              <w:rPr>
                <w:noProof/>
                <w:webHidden/>
              </w:rPr>
              <w:fldChar w:fldCharType="separate"/>
            </w:r>
            <w:r>
              <w:rPr>
                <w:noProof/>
                <w:webHidden/>
              </w:rPr>
              <w:t>12</w:t>
            </w:r>
            <w:r>
              <w:rPr>
                <w:noProof/>
                <w:webHidden/>
              </w:rPr>
              <w:fldChar w:fldCharType="end"/>
            </w:r>
          </w:hyperlink>
        </w:p>
        <w:p w14:paraId="2588022D"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2" w:history="1">
            <w:r w:rsidRPr="00E8231D">
              <w:rPr>
                <w:rStyle w:val="Lienhypertexte"/>
                <w:noProof/>
              </w:rPr>
              <w:t>1.3.3.</w:t>
            </w:r>
            <w:r>
              <w:rPr>
                <w:rFonts w:eastAsiaTheme="minorEastAsia"/>
                <w:noProof/>
                <w:lang w:eastAsia="fr-FR"/>
              </w:rPr>
              <w:tab/>
            </w:r>
            <w:r w:rsidRPr="00E8231D">
              <w:rPr>
                <w:rStyle w:val="Lienhypertexte"/>
                <w:noProof/>
              </w:rPr>
              <w:t>Bande de Cramer-Rao</w:t>
            </w:r>
            <w:r>
              <w:rPr>
                <w:noProof/>
                <w:webHidden/>
              </w:rPr>
              <w:tab/>
            </w:r>
            <w:r>
              <w:rPr>
                <w:noProof/>
                <w:webHidden/>
              </w:rPr>
              <w:fldChar w:fldCharType="begin"/>
            </w:r>
            <w:r>
              <w:rPr>
                <w:noProof/>
                <w:webHidden/>
              </w:rPr>
              <w:instrText xml:space="preserve"> PAGEREF _Toc104886662 \h </w:instrText>
            </w:r>
            <w:r>
              <w:rPr>
                <w:noProof/>
                <w:webHidden/>
              </w:rPr>
            </w:r>
            <w:r>
              <w:rPr>
                <w:noProof/>
                <w:webHidden/>
              </w:rPr>
              <w:fldChar w:fldCharType="separate"/>
            </w:r>
            <w:r>
              <w:rPr>
                <w:noProof/>
                <w:webHidden/>
              </w:rPr>
              <w:t>12</w:t>
            </w:r>
            <w:r>
              <w:rPr>
                <w:noProof/>
                <w:webHidden/>
              </w:rPr>
              <w:fldChar w:fldCharType="end"/>
            </w:r>
          </w:hyperlink>
        </w:p>
        <w:p w14:paraId="6DC82CF2"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3" w:history="1">
            <w:r w:rsidRPr="00E8231D">
              <w:rPr>
                <w:rStyle w:val="Lienhypertexte"/>
                <w:noProof/>
              </w:rPr>
              <w:t>1.3.4.</w:t>
            </w:r>
            <w:r>
              <w:rPr>
                <w:rFonts w:eastAsiaTheme="minorEastAsia"/>
                <w:noProof/>
                <w:lang w:eastAsia="fr-FR"/>
              </w:rPr>
              <w:tab/>
            </w:r>
            <w:r w:rsidRPr="00E8231D">
              <w:rPr>
                <w:rStyle w:val="Lienhypertexte"/>
                <w:noProof/>
              </w:rPr>
              <w:t>Précision</w:t>
            </w:r>
            <w:r>
              <w:rPr>
                <w:noProof/>
                <w:webHidden/>
              </w:rPr>
              <w:tab/>
            </w:r>
            <w:r>
              <w:rPr>
                <w:noProof/>
                <w:webHidden/>
              </w:rPr>
              <w:fldChar w:fldCharType="begin"/>
            </w:r>
            <w:r>
              <w:rPr>
                <w:noProof/>
                <w:webHidden/>
              </w:rPr>
              <w:instrText xml:space="preserve"> PAGEREF _Toc104886663 \h </w:instrText>
            </w:r>
            <w:r>
              <w:rPr>
                <w:noProof/>
                <w:webHidden/>
              </w:rPr>
            </w:r>
            <w:r>
              <w:rPr>
                <w:noProof/>
                <w:webHidden/>
              </w:rPr>
              <w:fldChar w:fldCharType="separate"/>
            </w:r>
            <w:r>
              <w:rPr>
                <w:noProof/>
                <w:webHidden/>
              </w:rPr>
              <w:t>13</w:t>
            </w:r>
            <w:r>
              <w:rPr>
                <w:noProof/>
                <w:webHidden/>
              </w:rPr>
              <w:fldChar w:fldCharType="end"/>
            </w:r>
          </w:hyperlink>
        </w:p>
        <w:p w14:paraId="33712D63"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4" w:history="1">
            <w:r w:rsidRPr="00E8231D">
              <w:rPr>
                <w:rStyle w:val="Lienhypertexte"/>
                <w:noProof/>
              </w:rPr>
              <w:t>1.3.5.</w:t>
            </w:r>
            <w:r>
              <w:rPr>
                <w:rFonts w:eastAsiaTheme="minorEastAsia"/>
                <w:noProof/>
                <w:lang w:eastAsia="fr-FR"/>
              </w:rPr>
              <w:tab/>
            </w:r>
            <w:r w:rsidRPr="00E8231D">
              <w:rPr>
                <w:rStyle w:val="Lienhypertexte"/>
                <w:noProof/>
              </w:rPr>
              <w:t>Sensibilité</w:t>
            </w:r>
            <w:r>
              <w:rPr>
                <w:noProof/>
                <w:webHidden/>
              </w:rPr>
              <w:tab/>
            </w:r>
            <w:r>
              <w:rPr>
                <w:noProof/>
                <w:webHidden/>
              </w:rPr>
              <w:fldChar w:fldCharType="begin"/>
            </w:r>
            <w:r>
              <w:rPr>
                <w:noProof/>
                <w:webHidden/>
              </w:rPr>
              <w:instrText xml:space="preserve"> PAGEREF _Toc104886664 \h </w:instrText>
            </w:r>
            <w:r>
              <w:rPr>
                <w:noProof/>
                <w:webHidden/>
              </w:rPr>
            </w:r>
            <w:r>
              <w:rPr>
                <w:noProof/>
                <w:webHidden/>
              </w:rPr>
              <w:fldChar w:fldCharType="separate"/>
            </w:r>
            <w:r>
              <w:rPr>
                <w:noProof/>
                <w:webHidden/>
              </w:rPr>
              <w:t>14</w:t>
            </w:r>
            <w:r>
              <w:rPr>
                <w:noProof/>
                <w:webHidden/>
              </w:rPr>
              <w:fldChar w:fldCharType="end"/>
            </w:r>
          </w:hyperlink>
        </w:p>
        <w:p w14:paraId="17E6F0FB"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5" w:history="1">
            <w:r w:rsidRPr="00E8231D">
              <w:rPr>
                <w:rStyle w:val="Lienhypertexte"/>
                <w:noProof/>
              </w:rPr>
              <w:t>1.3.6.</w:t>
            </w:r>
            <w:r>
              <w:rPr>
                <w:rFonts w:eastAsiaTheme="minorEastAsia"/>
                <w:noProof/>
                <w:lang w:eastAsia="fr-FR"/>
              </w:rPr>
              <w:tab/>
            </w:r>
            <w:r w:rsidRPr="00E8231D">
              <w:rPr>
                <w:rStyle w:val="Lienhypertexte"/>
                <w:noProof/>
              </w:rPr>
              <w:t>Robustesse</w:t>
            </w:r>
            <w:r>
              <w:rPr>
                <w:noProof/>
                <w:webHidden/>
              </w:rPr>
              <w:tab/>
            </w:r>
            <w:r>
              <w:rPr>
                <w:noProof/>
                <w:webHidden/>
              </w:rPr>
              <w:fldChar w:fldCharType="begin"/>
            </w:r>
            <w:r>
              <w:rPr>
                <w:noProof/>
                <w:webHidden/>
              </w:rPr>
              <w:instrText xml:space="preserve"> PAGEREF _Toc104886665 \h </w:instrText>
            </w:r>
            <w:r>
              <w:rPr>
                <w:noProof/>
                <w:webHidden/>
              </w:rPr>
            </w:r>
            <w:r>
              <w:rPr>
                <w:noProof/>
                <w:webHidden/>
              </w:rPr>
              <w:fldChar w:fldCharType="separate"/>
            </w:r>
            <w:r>
              <w:rPr>
                <w:noProof/>
                <w:webHidden/>
              </w:rPr>
              <w:t>15</w:t>
            </w:r>
            <w:r>
              <w:rPr>
                <w:noProof/>
                <w:webHidden/>
              </w:rPr>
              <w:fldChar w:fldCharType="end"/>
            </w:r>
          </w:hyperlink>
        </w:p>
        <w:p w14:paraId="11B781A3" w14:textId="77777777" w:rsidR="00B62C32" w:rsidRDefault="00B62C32" w:rsidP="000F60A8">
          <w:pPr>
            <w:pStyle w:val="TM2"/>
            <w:tabs>
              <w:tab w:val="left" w:pos="880"/>
              <w:tab w:val="right" w:leader="dot" w:pos="9062"/>
            </w:tabs>
            <w:jc w:val="both"/>
            <w:rPr>
              <w:rFonts w:eastAsiaTheme="minorEastAsia"/>
              <w:noProof/>
              <w:lang w:eastAsia="fr-FR"/>
            </w:rPr>
          </w:pPr>
          <w:hyperlink w:anchor="_Toc104886666" w:history="1">
            <w:r w:rsidRPr="00E8231D">
              <w:rPr>
                <w:rStyle w:val="Lienhypertexte"/>
                <w:noProof/>
              </w:rPr>
              <w:t>1.4.</w:t>
            </w:r>
            <w:r>
              <w:rPr>
                <w:rFonts w:eastAsiaTheme="minorEastAsia"/>
                <w:noProof/>
                <w:lang w:eastAsia="fr-FR"/>
              </w:rPr>
              <w:tab/>
            </w:r>
            <w:r w:rsidRPr="00E8231D">
              <w:rPr>
                <w:rStyle w:val="Lienhypertexte"/>
                <w:noProof/>
              </w:rPr>
              <w:t>Antennes à applicatif goniométrique dans la littérature</w:t>
            </w:r>
            <w:r>
              <w:rPr>
                <w:noProof/>
                <w:webHidden/>
              </w:rPr>
              <w:tab/>
            </w:r>
            <w:r>
              <w:rPr>
                <w:noProof/>
                <w:webHidden/>
              </w:rPr>
              <w:fldChar w:fldCharType="begin"/>
            </w:r>
            <w:r>
              <w:rPr>
                <w:noProof/>
                <w:webHidden/>
              </w:rPr>
              <w:instrText xml:space="preserve"> PAGEREF _Toc104886666 \h </w:instrText>
            </w:r>
            <w:r>
              <w:rPr>
                <w:noProof/>
                <w:webHidden/>
              </w:rPr>
            </w:r>
            <w:r>
              <w:rPr>
                <w:noProof/>
                <w:webHidden/>
              </w:rPr>
              <w:fldChar w:fldCharType="separate"/>
            </w:r>
            <w:r>
              <w:rPr>
                <w:noProof/>
                <w:webHidden/>
              </w:rPr>
              <w:t>17</w:t>
            </w:r>
            <w:r>
              <w:rPr>
                <w:noProof/>
                <w:webHidden/>
              </w:rPr>
              <w:fldChar w:fldCharType="end"/>
            </w:r>
          </w:hyperlink>
        </w:p>
        <w:p w14:paraId="47F50363"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7" w:history="1">
            <w:r w:rsidRPr="00E8231D">
              <w:rPr>
                <w:rStyle w:val="Lienhypertexte"/>
                <w:noProof/>
              </w:rPr>
              <w:t>1.4.1.</w:t>
            </w:r>
            <w:r>
              <w:rPr>
                <w:rFonts w:eastAsiaTheme="minorEastAsia"/>
                <w:noProof/>
                <w:lang w:eastAsia="fr-FR"/>
              </w:rPr>
              <w:tab/>
            </w:r>
            <w:r w:rsidRPr="00E8231D">
              <w:rPr>
                <w:rStyle w:val="Lienhypertexte"/>
                <w:noProof/>
              </w:rPr>
              <w:t>Antennes spirales</w:t>
            </w:r>
            <w:r>
              <w:rPr>
                <w:noProof/>
                <w:webHidden/>
              </w:rPr>
              <w:tab/>
            </w:r>
            <w:r>
              <w:rPr>
                <w:noProof/>
                <w:webHidden/>
              </w:rPr>
              <w:fldChar w:fldCharType="begin"/>
            </w:r>
            <w:r>
              <w:rPr>
                <w:noProof/>
                <w:webHidden/>
              </w:rPr>
              <w:instrText xml:space="preserve"> PAGEREF _Toc104886667 \h </w:instrText>
            </w:r>
            <w:r>
              <w:rPr>
                <w:noProof/>
                <w:webHidden/>
              </w:rPr>
            </w:r>
            <w:r>
              <w:rPr>
                <w:noProof/>
                <w:webHidden/>
              </w:rPr>
              <w:fldChar w:fldCharType="separate"/>
            </w:r>
            <w:r>
              <w:rPr>
                <w:noProof/>
                <w:webHidden/>
              </w:rPr>
              <w:t>17</w:t>
            </w:r>
            <w:r>
              <w:rPr>
                <w:noProof/>
                <w:webHidden/>
              </w:rPr>
              <w:fldChar w:fldCharType="end"/>
            </w:r>
          </w:hyperlink>
        </w:p>
        <w:p w14:paraId="1D8FB725"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8" w:history="1">
            <w:r w:rsidRPr="00E8231D">
              <w:rPr>
                <w:rStyle w:val="Lienhypertexte"/>
                <w:noProof/>
              </w:rPr>
              <w:t>1.4.2.</w:t>
            </w:r>
            <w:r>
              <w:rPr>
                <w:rFonts w:eastAsiaTheme="minorEastAsia"/>
                <w:noProof/>
                <w:lang w:eastAsia="fr-FR"/>
              </w:rPr>
              <w:tab/>
            </w:r>
            <w:r w:rsidRPr="00E8231D">
              <w:rPr>
                <w:rStyle w:val="Lienhypertexte"/>
                <w:noProof/>
              </w:rPr>
              <w:t>Antennes rotatives</w:t>
            </w:r>
            <w:r>
              <w:rPr>
                <w:noProof/>
                <w:webHidden/>
              </w:rPr>
              <w:tab/>
            </w:r>
            <w:r>
              <w:rPr>
                <w:noProof/>
                <w:webHidden/>
              </w:rPr>
              <w:fldChar w:fldCharType="begin"/>
            </w:r>
            <w:r>
              <w:rPr>
                <w:noProof/>
                <w:webHidden/>
              </w:rPr>
              <w:instrText xml:space="preserve"> PAGEREF _Toc104886668 \h </w:instrText>
            </w:r>
            <w:r>
              <w:rPr>
                <w:noProof/>
                <w:webHidden/>
              </w:rPr>
            </w:r>
            <w:r>
              <w:rPr>
                <w:noProof/>
                <w:webHidden/>
              </w:rPr>
              <w:fldChar w:fldCharType="separate"/>
            </w:r>
            <w:r>
              <w:rPr>
                <w:noProof/>
                <w:webHidden/>
              </w:rPr>
              <w:t>18</w:t>
            </w:r>
            <w:r>
              <w:rPr>
                <w:noProof/>
                <w:webHidden/>
              </w:rPr>
              <w:fldChar w:fldCharType="end"/>
            </w:r>
          </w:hyperlink>
        </w:p>
        <w:p w14:paraId="2D71D98A"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69" w:history="1">
            <w:r w:rsidRPr="00E8231D">
              <w:rPr>
                <w:rStyle w:val="Lienhypertexte"/>
                <w:noProof/>
              </w:rPr>
              <w:t>1.4.3.</w:t>
            </w:r>
            <w:r>
              <w:rPr>
                <w:rFonts w:eastAsiaTheme="minorEastAsia"/>
                <w:noProof/>
                <w:lang w:eastAsia="fr-FR"/>
              </w:rPr>
              <w:tab/>
            </w:r>
            <w:r w:rsidRPr="00E8231D">
              <w:rPr>
                <w:rStyle w:val="Lienhypertexte"/>
                <w:noProof/>
              </w:rPr>
              <w:t>Antennes à onde progressive</w:t>
            </w:r>
            <w:r>
              <w:rPr>
                <w:noProof/>
                <w:webHidden/>
              </w:rPr>
              <w:tab/>
            </w:r>
            <w:r>
              <w:rPr>
                <w:noProof/>
                <w:webHidden/>
              </w:rPr>
              <w:fldChar w:fldCharType="begin"/>
            </w:r>
            <w:r>
              <w:rPr>
                <w:noProof/>
                <w:webHidden/>
              </w:rPr>
              <w:instrText xml:space="preserve"> PAGEREF _Toc104886669 \h </w:instrText>
            </w:r>
            <w:r>
              <w:rPr>
                <w:noProof/>
                <w:webHidden/>
              </w:rPr>
            </w:r>
            <w:r>
              <w:rPr>
                <w:noProof/>
                <w:webHidden/>
              </w:rPr>
              <w:fldChar w:fldCharType="separate"/>
            </w:r>
            <w:r>
              <w:rPr>
                <w:noProof/>
                <w:webHidden/>
              </w:rPr>
              <w:t>18</w:t>
            </w:r>
            <w:r>
              <w:rPr>
                <w:noProof/>
                <w:webHidden/>
              </w:rPr>
              <w:fldChar w:fldCharType="end"/>
            </w:r>
          </w:hyperlink>
        </w:p>
        <w:p w14:paraId="03B34779" w14:textId="77777777" w:rsidR="00B62C32" w:rsidRDefault="00B62C32" w:rsidP="000F60A8">
          <w:pPr>
            <w:pStyle w:val="TM1"/>
            <w:tabs>
              <w:tab w:val="left" w:pos="440"/>
              <w:tab w:val="right" w:leader="dot" w:pos="9062"/>
            </w:tabs>
            <w:jc w:val="both"/>
            <w:rPr>
              <w:rFonts w:eastAsiaTheme="minorEastAsia"/>
              <w:noProof/>
              <w:lang w:eastAsia="fr-FR"/>
            </w:rPr>
          </w:pPr>
          <w:hyperlink w:anchor="_Toc104886670" w:history="1">
            <w:r w:rsidRPr="00E8231D">
              <w:rPr>
                <w:rStyle w:val="Lienhypertexte"/>
                <w:noProof/>
              </w:rPr>
              <w:t>2.</w:t>
            </w:r>
            <w:r>
              <w:rPr>
                <w:rFonts w:eastAsiaTheme="minorEastAsia"/>
                <w:noProof/>
                <w:lang w:eastAsia="fr-FR"/>
              </w:rPr>
              <w:tab/>
            </w:r>
            <w:r w:rsidRPr="00E8231D">
              <w:rPr>
                <w:rStyle w:val="Lienhypertexte"/>
                <w:noProof/>
              </w:rPr>
              <w:t>Antennes compactes et large bande</w:t>
            </w:r>
            <w:r>
              <w:rPr>
                <w:noProof/>
                <w:webHidden/>
              </w:rPr>
              <w:tab/>
            </w:r>
            <w:r>
              <w:rPr>
                <w:noProof/>
                <w:webHidden/>
              </w:rPr>
              <w:fldChar w:fldCharType="begin"/>
            </w:r>
            <w:r>
              <w:rPr>
                <w:noProof/>
                <w:webHidden/>
              </w:rPr>
              <w:instrText xml:space="preserve"> PAGEREF _Toc104886670 \h </w:instrText>
            </w:r>
            <w:r>
              <w:rPr>
                <w:noProof/>
                <w:webHidden/>
              </w:rPr>
            </w:r>
            <w:r>
              <w:rPr>
                <w:noProof/>
                <w:webHidden/>
              </w:rPr>
              <w:fldChar w:fldCharType="separate"/>
            </w:r>
            <w:r>
              <w:rPr>
                <w:noProof/>
                <w:webHidden/>
              </w:rPr>
              <w:t>20</w:t>
            </w:r>
            <w:r>
              <w:rPr>
                <w:noProof/>
                <w:webHidden/>
              </w:rPr>
              <w:fldChar w:fldCharType="end"/>
            </w:r>
          </w:hyperlink>
        </w:p>
        <w:p w14:paraId="0FC99340" w14:textId="77777777" w:rsidR="00B62C32" w:rsidRDefault="00B62C32" w:rsidP="000F60A8">
          <w:pPr>
            <w:pStyle w:val="TM2"/>
            <w:tabs>
              <w:tab w:val="left" w:pos="880"/>
              <w:tab w:val="right" w:leader="dot" w:pos="9062"/>
            </w:tabs>
            <w:jc w:val="both"/>
            <w:rPr>
              <w:rFonts w:eastAsiaTheme="minorEastAsia"/>
              <w:noProof/>
              <w:lang w:eastAsia="fr-FR"/>
            </w:rPr>
          </w:pPr>
          <w:hyperlink w:anchor="_Toc104886671" w:history="1">
            <w:r w:rsidRPr="00E8231D">
              <w:rPr>
                <w:rStyle w:val="Lienhypertexte"/>
                <w:noProof/>
              </w:rPr>
              <w:t>2.1.</w:t>
            </w:r>
            <w:r>
              <w:rPr>
                <w:rFonts w:eastAsiaTheme="minorEastAsia"/>
                <w:noProof/>
                <w:lang w:eastAsia="fr-FR"/>
              </w:rPr>
              <w:tab/>
            </w:r>
            <w:r w:rsidRPr="00E8231D">
              <w:rPr>
                <w:rStyle w:val="Lienhypertexte"/>
                <w:noProof/>
              </w:rPr>
              <w:t>Théorie des antennes miniaturisées</w:t>
            </w:r>
            <w:r>
              <w:rPr>
                <w:noProof/>
                <w:webHidden/>
              </w:rPr>
              <w:tab/>
            </w:r>
            <w:r>
              <w:rPr>
                <w:noProof/>
                <w:webHidden/>
              </w:rPr>
              <w:fldChar w:fldCharType="begin"/>
            </w:r>
            <w:r>
              <w:rPr>
                <w:noProof/>
                <w:webHidden/>
              </w:rPr>
              <w:instrText xml:space="preserve"> PAGEREF _Toc104886671 \h </w:instrText>
            </w:r>
            <w:r>
              <w:rPr>
                <w:noProof/>
                <w:webHidden/>
              </w:rPr>
            </w:r>
            <w:r>
              <w:rPr>
                <w:noProof/>
                <w:webHidden/>
              </w:rPr>
              <w:fldChar w:fldCharType="separate"/>
            </w:r>
            <w:r>
              <w:rPr>
                <w:noProof/>
                <w:webHidden/>
              </w:rPr>
              <w:t>20</w:t>
            </w:r>
            <w:r>
              <w:rPr>
                <w:noProof/>
                <w:webHidden/>
              </w:rPr>
              <w:fldChar w:fldCharType="end"/>
            </w:r>
          </w:hyperlink>
        </w:p>
        <w:p w14:paraId="4322AAC2"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72" w:history="1">
            <w:r w:rsidRPr="00E8231D">
              <w:rPr>
                <w:rStyle w:val="Lienhypertexte"/>
                <w:noProof/>
              </w:rPr>
              <w:t>2.1.1.</w:t>
            </w:r>
            <w:r>
              <w:rPr>
                <w:rFonts w:eastAsiaTheme="minorEastAsia"/>
                <w:noProof/>
                <w:lang w:eastAsia="fr-FR"/>
              </w:rPr>
              <w:tab/>
            </w:r>
            <w:r w:rsidRPr="00E8231D">
              <w:rPr>
                <w:rStyle w:val="Lienhypertexte"/>
                <w:noProof/>
              </w:rPr>
              <w:t>Antennes électriquement petites</w:t>
            </w:r>
            <w:r>
              <w:rPr>
                <w:noProof/>
                <w:webHidden/>
              </w:rPr>
              <w:tab/>
            </w:r>
            <w:r>
              <w:rPr>
                <w:noProof/>
                <w:webHidden/>
              </w:rPr>
              <w:fldChar w:fldCharType="begin"/>
            </w:r>
            <w:r>
              <w:rPr>
                <w:noProof/>
                <w:webHidden/>
              </w:rPr>
              <w:instrText xml:space="preserve"> PAGEREF _Toc104886672 \h </w:instrText>
            </w:r>
            <w:r>
              <w:rPr>
                <w:noProof/>
                <w:webHidden/>
              </w:rPr>
            </w:r>
            <w:r>
              <w:rPr>
                <w:noProof/>
                <w:webHidden/>
              </w:rPr>
              <w:fldChar w:fldCharType="separate"/>
            </w:r>
            <w:r>
              <w:rPr>
                <w:noProof/>
                <w:webHidden/>
              </w:rPr>
              <w:t>20</w:t>
            </w:r>
            <w:r>
              <w:rPr>
                <w:noProof/>
                <w:webHidden/>
              </w:rPr>
              <w:fldChar w:fldCharType="end"/>
            </w:r>
          </w:hyperlink>
        </w:p>
        <w:p w14:paraId="23FDAA46"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73" w:history="1">
            <w:r w:rsidRPr="00E8231D">
              <w:rPr>
                <w:rStyle w:val="Lienhypertexte"/>
                <w:noProof/>
              </w:rPr>
              <w:t>2.1.2.</w:t>
            </w:r>
            <w:r>
              <w:rPr>
                <w:rFonts w:eastAsiaTheme="minorEastAsia"/>
                <w:noProof/>
                <w:lang w:eastAsia="fr-FR"/>
              </w:rPr>
              <w:tab/>
            </w:r>
            <w:r w:rsidRPr="00E8231D">
              <w:rPr>
                <w:rStyle w:val="Lienhypertexte"/>
                <w:noProof/>
              </w:rPr>
              <w:t>Problèmes d’adaptation</w:t>
            </w:r>
            <w:r>
              <w:rPr>
                <w:noProof/>
                <w:webHidden/>
              </w:rPr>
              <w:tab/>
            </w:r>
            <w:r>
              <w:rPr>
                <w:noProof/>
                <w:webHidden/>
              </w:rPr>
              <w:fldChar w:fldCharType="begin"/>
            </w:r>
            <w:r>
              <w:rPr>
                <w:noProof/>
                <w:webHidden/>
              </w:rPr>
              <w:instrText xml:space="preserve"> PAGEREF _Toc104886673 \h </w:instrText>
            </w:r>
            <w:r>
              <w:rPr>
                <w:noProof/>
                <w:webHidden/>
              </w:rPr>
            </w:r>
            <w:r>
              <w:rPr>
                <w:noProof/>
                <w:webHidden/>
              </w:rPr>
              <w:fldChar w:fldCharType="separate"/>
            </w:r>
            <w:r>
              <w:rPr>
                <w:noProof/>
                <w:webHidden/>
              </w:rPr>
              <w:t>21</w:t>
            </w:r>
            <w:r>
              <w:rPr>
                <w:noProof/>
                <w:webHidden/>
              </w:rPr>
              <w:fldChar w:fldCharType="end"/>
            </w:r>
          </w:hyperlink>
        </w:p>
        <w:p w14:paraId="5579F215"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74" w:history="1">
            <w:r w:rsidRPr="00E8231D">
              <w:rPr>
                <w:rStyle w:val="Lienhypertexte"/>
                <w:noProof/>
              </w:rPr>
              <w:t>2.1.3.</w:t>
            </w:r>
            <w:r>
              <w:rPr>
                <w:rFonts w:eastAsiaTheme="minorEastAsia"/>
                <w:noProof/>
                <w:lang w:eastAsia="fr-FR"/>
              </w:rPr>
              <w:tab/>
            </w:r>
            <w:r w:rsidRPr="00E8231D">
              <w:rPr>
                <w:rStyle w:val="Lienhypertexte"/>
                <w:noProof/>
              </w:rPr>
              <w:t>Efficacité de rayonnement et gain</w:t>
            </w:r>
            <w:r>
              <w:rPr>
                <w:noProof/>
                <w:webHidden/>
              </w:rPr>
              <w:tab/>
            </w:r>
            <w:r>
              <w:rPr>
                <w:noProof/>
                <w:webHidden/>
              </w:rPr>
              <w:fldChar w:fldCharType="begin"/>
            </w:r>
            <w:r>
              <w:rPr>
                <w:noProof/>
                <w:webHidden/>
              </w:rPr>
              <w:instrText xml:space="preserve"> PAGEREF _Toc104886674 \h </w:instrText>
            </w:r>
            <w:r>
              <w:rPr>
                <w:noProof/>
                <w:webHidden/>
              </w:rPr>
            </w:r>
            <w:r>
              <w:rPr>
                <w:noProof/>
                <w:webHidden/>
              </w:rPr>
              <w:fldChar w:fldCharType="separate"/>
            </w:r>
            <w:r>
              <w:rPr>
                <w:noProof/>
                <w:webHidden/>
              </w:rPr>
              <w:t>21</w:t>
            </w:r>
            <w:r>
              <w:rPr>
                <w:noProof/>
                <w:webHidden/>
              </w:rPr>
              <w:fldChar w:fldCharType="end"/>
            </w:r>
          </w:hyperlink>
        </w:p>
        <w:p w14:paraId="4248E160"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75" w:history="1">
            <w:r w:rsidRPr="00E8231D">
              <w:rPr>
                <w:rStyle w:val="Lienhypertexte"/>
                <w:noProof/>
              </w:rPr>
              <w:t>2.1.4.</w:t>
            </w:r>
            <w:r>
              <w:rPr>
                <w:rFonts w:eastAsiaTheme="minorEastAsia"/>
                <w:noProof/>
                <w:lang w:eastAsia="fr-FR"/>
              </w:rPr>
              <w:tab/>
            </w:r>
            <w:r w:rsidRPr="00E8231D">
              <w:rPr>
                <w:rStyle w:val="Lienhypertexte"/>
                <w:noProof/>
              </w:rPr>
              <w:t>Facteur de qualité de rayonnement Q</w:t>
            </w:r>
            <w:r>
              <w:rPr>
                <w:noProof/>
                <w:webHidden/>
              </w:rPr>
              <w:tab/>
            </w:r>
            <w:r>
              <w:rPr>
                <w:noProof/>
                <w:webHidden/>
              </w:rPr>
              <w:fldChar w:fldCharType="begin"/>
            </w:r>
            <w:r>
              <w:rPr>
                <w:noProof/>
                <w:webHidden/>
              </w:rPr>
              <w:instrText xml:space="preserve"> PAGEREF _Toc104886675 \h </w:instrText>
            </w:r>
            <w:r>
              <w:rPr>
                <w:noProof/>
                <w:webHidden/>
              </w:rPr>
            </w:r>
            <w:r>
              <w:rPr>
                <w:noProof/>
                <w:webHidden/>
              </w:rPr>
              <w:fldChar w:fldCharType="separate"/>
            </w:r>
            <w:r>
              <w:rPr>
                <w:noProof/>
                <w:webHidden/>
              </w:rPr>
              <w:t>21</w:t>
            </w:r>
            <w:r>
              <w:rPr>
                <w:noProof/>
                <w:webHidden/>
              </w:rPr>
              <w:fldChar w:fldCharType="end"/>
            </w:r>
          </w:hyperlink>
        </w:p>
        <w:p w14:paraId="00FB003D"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76" w:history="1">
            <w:r w:rsidRPr="00E8231D">
              <w:rPr>
                <w:rStyle w:val="Lienhypertexte"/>
                <w:noProof/>
              </w:rPr>
              <w:t>2.1.5.</w:t>
            </w:r>
            <w:r>
              <w:rPr>
                <w:rFonts w:eastAsiaTheme="minorEastAsia"/>
                <w:noProof/>
                <w:lang w:eastAsia="fr-FR"/>
              </w:rPr>
              <w:tab/>
            </w:r>
            <w:r w:rsidRPr="00E8231D">
              <w:rPr>
                <w:rStyle w:val="Lienhypertexte"/>
                <w:noProof/>
              </w:rPr>
              <w:t>Méthodes de miniaturisation</w:t>
            </w:r>
            <w:r>
              <w:rPr>
                <w:noProof/>
                <w:webHidden/>
              </w:rPr>
              <w:tab/>
            </w:r>
            <w:r>
              <w:rPr>
                <w:noProof/>
                <w:webHidden/>
              </w:rPr>
              <w:fldChar w:fldCharType="begin"/>
            </w:r>
            <w:r>
              <w:rPr>
                <w:noProof/>
                <w:webHidden/>
              </w:rPr>
              <w:instrText xml:space="preserve"> PAGEREF _Toc104886676 \h </w:instrText>
            </w:r>
            <w:r>
              <w:rPr>
                <w:noProof/>
                <w:webHidden/>
              </w:rPr>
            </w:r>
            <w:r>
              <w:rPr>
                <w:noProof/>
                <w:webHidden/>
              </w:rPr>
              <w:fldChar w:fldCharType="separate"/>
            </w:r>
            <w:r>
              <w:rPr>
                <w:noProof/>
                <w:webHidden/>
              </w:rPr>
              <w:t>22</w:t>
            </w:r>
            <w:r>
              <w:rPr>
                <w:noProof/>
                <w:webHidden/>
              </w:rPr>
              <w:fldChar w:fldCharType="end"/>
            </w:r>
          </w:hyperlink>
        </w:p>
        <w:p w14:paraId="3844C7E7" w14:textId="77777777" w:rsidR="00B62C32" w:rsidRDefault="00B62C32" w:rsidP="000F60A8">
          <w:pPr>
            <w:pStyle w:val="TM2"/>
            <w:tabs>
              <w:tab w:val="left" w:pos="880"/>
              <w:tab w:val="right" w:leader="dot" w:pos="9062"/>
            </w:tabs>
            <w:jc w:val="both"/>
            <w:rPr>
              <w:rFonts w:eastAsiaTheme="minorEastAsia"/>
              <w:noProof/>
              <w:lang w:eastAsia="fr-FR"/>
            </w:rPr>
          </w:pPr>
          <w:hyperlink w:anchor="_Toc104886677" w:history="1">
            <w:r w:rsidRPr="00E8231D">
              <w:rPr>
                <w:rStyle w:val="Lienhypertexte"/>
                <w:noProof/>
              </w:rPr>
              <w:t>2.2.</w:t>
            </w:r>
            <w:r>
              <w:rPr>
                <w:rFonts w:eastAsiaTheme="minorEastAsia"/>
                <w:noProof/>
                <w:lang w:eastAsia="fr-FR"/>
              </w:rPr>
              <w:tab/>
            </w:r>
            <w:r w:rsidRPr="00E8231D">
              <w:rPr>
                <w:rStyle w:val="Lienhypertexte"/>
                <w:noProof/>
              </w:rPr>
              <w:t>Antennes Ultra Large Bande</w:t>
            </w:r>
            <w:r>
              <w:rPr>
                <w:noProof/>
                <w:webHidden/>
              </w:rPr>
              <w:tab/>
            </w:r>
            <w:r>
              <w:rPr>
                <w:noProof/>
                <w:webHidden/>
              </w:rPr>
              <w:fldChar w:fldCharType="begin"/>
            </w:r>
            <w:r>
              <w:rPr>
                <w:noProof/>
                <w:webHidden/>
              </w:rPr>
              <w:instrText xml:space="preserve"> PAGEREF _Toc104886677 \h </w:instrText>
            </w:r>
            <w:r>
              <w:rPr>
                <w:noProof/>
                <w:webHidden/>
              </w:rPr>
            </w:r>
            <w:r>
              <w:rPr>
                <w:noProof/>
                <w:webHidden/>
              </w:rPr>
              <w:fldChar w:fldCharType="separate"/>
            </w:r>
            <w:r>
              <w:rPr>
                <w:noProof/>
                <w:webHidden/>
              </w:rPr>
              <w:t>23</w:t>
            </w:r>
            <w:r>
              <w:rPr>
                <w:noProof/>
                <w:webHidden/>
              </w:rPr>
              <w:fldChar w:fldCharType="end"/>
            </w:r>
          </w:hyperlink>
        </w:p>
        <w:p w14:paraId="41B5B50C" w14:textId="77777777" w:rsidR="00B62C32" w:rsidRDefault="00B62C32" w:rsidP="000F60A8">
          <w:pPr>
            <w:pStyle w:val="TM2"/>
            <w:tabs>
              <w:tab w:val="left" w:pos="880"/>
              <w:tab w:val="right" w:leader="dot" w:pos="9062"/>
            </w:tabs>
            <w:jc w:val="both"/>
            <w:rPr>
              <w:rFonts w:eastAsiaTheme="minorEastAsia"/>
              <w:noProof/>
              <w:lang w:eastAsia="fr-FR"/>
            </w:rPr>
          </w:pPr>
          <w:hyperlink w:anchor="_Toc104886678" w:history="1">
            <w:r w:rsidRPr="00E8231D">
              <w:rPr>
                <w:rStyle w:val="Lienhypertexte"/>
                <w:noProof/>
              </w:rPr>
              <w:t>2.3.</w:t>
            </w:r>
            <w:r>
              <w:rPr>
                <w:rFonts w:eastAsiaTheme="minorEastAsia"/>
                <w:noProof/>
                <w:lang w:eastAsia="fr-FR"/>
              </w:rPr>
              <w:tab/>
            </w:r>
            <w:r w:rsidRPr="00E8231D">
              <w:rPr>
                <w:rStyle w:val="Lienhypertexte"/>
                <w:noProof/>
              </w:rPr>
              <w:t>Exemples d’antennes large bande</w:t>
            </w:r>
            <w:r>
              <w:rPr>
                <w:noProof/>
                <w:webHidden/>
              </w:rPr>
              <w:tab/>
            </w:r>
            <w:r>
              <w:rPr>
                <w:noProof/>
                <w:webHidden/>
              </w:rPr>
              <w:fldChar w:fldCharType="begin"/>
            </w:r>
            <w:r>
              <w:rPr>
                <w:noProof/>
                <w:webHidden/>
              </w:rPr>
              <w:instrText xml:space="preserve"> PAGEREF _Toc104886678 \h </w:instrText>
            </w:r>
            <w:r>
              <w:rPr>
                <w:noProof/>
                <w:webHidden/>
              </w:rPr>
            </w:r>
            <w:r>
              <w:rPr>
                <w:noProof/>
                <w:webHidden/>
              </w:rPr>
              <w:fldChar w:fldCharType="separate"/>
            </w:r>
            <w:r>
              <w:rPr>
                <w:noProof/>
                <w:webHidden/>
              </w:rPr>
              <w:t>24</w:t>
            </w:r>
            <w:r>
              <w:rPr>
                <w:noProof/>
                <w:webHidden/>
              </w:rPr>
              <w:fldChar w:fldCharType="end"/>
            </w:r>
          </w:hyperlink>
        </w:p>
        <w:p w14:paraId="72EF6147"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79" w:history="1">
            <w:r w:rsidRPr="00E8231D">
              <w:rPr>
                <w:rStyle w:val="Lienhypertexte"/>
                <w:noProof/>
              </w:rPr>
              <w:t>2.3.1.</w:t>
            </w:r>
            <w:r>
              <w:rPr>
                <w:rFonts w:eastAsiaTheme="minorEastAsia"/>
                <w:noProof/>
                <w:lang w:eastAsia="fr-FR"/>
              </w:rPr>
              <w:tab/>
            </w:r>
            <w:r w:rsidRPr="00E8231D">
              <w:rPr>
                <w:rStyle w:val="Lienhypertexte"/>
                <w:noProof/>
              </w:rPr>
              <w:t>Antennes indépendantes de la fréquence</w:t>
            </w:r>
            <w:r>
              <w:rPr>
                <w:noProof/>
                <w:webHidden/>
              </w:rPr>
              <w:tab/>
            </w:r>
            <w:r>
              <w:rPr>
                <w:noProof/>
                <w:webHidden/>
              </w:rPr>
              <w:fldChar w:fldCharType="begin"/>
            </w:r>
            <w:r>
              <w:rPr>
                <w:noProof/>
                <w:webHidden/>
              </w:rPr>
              <w:instrText xml:space="preserve"> PAGEREF _Toc104886679 \h </w:instrText>
            </w:r>
            <w:r>
              <w:rPr>
                <w:noProof/>
                <w:webHidden/>
              </w:rPr>
            </w:r>
            <w:r>
              <w:rPr>
                <w:noProof/>
                <w:webHidden/>
              </w:rPr>
              <w:fldChar w:fldCharType="separate"/>
            </w:r>
            <w:r>
              <w:rPr>
                <w:noProof/>
                <w:webHidden/>
              </w:rPr>
              <w:t>24</w:t>
            </w:r>
            <w:r>
              <w:rPr>
                <w:noProof/>
                <w:webHidden/>
              </w:rPr>
              <w:fldChar w:fldCharType="end"/>
            </w:r>
          </w:hyperlink>
        </w:p>
        <w:p w14:paraId="6473CB6A" w14:textId="77777777" w:rsidR="00B62C32" w:rsidRDefault="00B62C32" w:rsidP="000F60A8">
          <w:pPr>
            <w:pStyle w:val="TM3"/>
            <w:tabs>
              <w:tab w:val="left" w:pos="1320"/>
              <w:tab w:val="right" w:leader="dot" w:pos="9062"/>
            </w:tabs>
            <w:jc w:val="both"/>
            <w:rPr>
              <w:rFonts w:eastAsiaTheme="minorEastAsia"/>
              <w:noProof/>
              <w:lang w:eastAsia="fr-FR"/>
            </w:rPr>
          </w:pPr>
          <w:hyperlink w:anchor="_Toc104886680" w:history="1">
            <w:r w:rsidRPr="00E8231D">
              <w:rPr>
                <w:rStyle w:val="Lienhypertexte"/>
                <w:noProof/>
              </w:rPr>
              <w:t>2.3.2.</w:t>
            </w:r>
            <w:r>
              <w:rPr>
                <w:rFonts w:eastAsiaTheme="minorEastAsia"/>
                <w:noProof/>
                <w:lang w:eastAsia="fr-FR"/>
              </w:rPr>
              <w:tab/>
            </w:r>
            <w:r w:rsidRPr="00E8231D">
              <w:rPr>
                <w:rStyle w:val="Lienhypertexte"/>
                <w:noProof/>
              </w:rPr>
              <w:t>Antenne à onde progressive</w:t>
            </w:r>
            <w:r>
              <w:rPr>
                <w:noProof/>
                <w:webHidden/>
              </w:rPr>
              <w:tab/>
            </w:r>
            <w:r>
              <w:rPr>
                <w:noProof/>
                <w:webHidden/>
              </w:rPr>
              <w:fldChar w:fldCharType="begin"/>
            </w:r>
            <w:r>
              <w:rPr>
                <w:noProof/>
                <w:webHidden/>
              </w:rPr>
              <w:instrText xml:space="preserve"> PAGEREF _Toc104886680 \h </w:instrText>
            </w:r>
            <w:r>
              <w:rPr>
                <w:noProof/>
                <w:webHidden/>
              </w:rPr>
            </w:r>
            <w:r>
              <w:rPr>
                <w:noProof/>
                <w:webHidden/>
              </w:rPr>
              <w:fldChar w:fldCharType="separate"/>
            </w:r>
            <w:r>
              <w:rPr>
                <w:noProof/>
                <w:webHidden/>
              </w:rPr>
              <w:t>25</w:t>
            </w:r>
            <w:r>
              <w:rPr>
                <w:noProof/>
                <w:webHidden/>
              </w:rPr>
              <w:fldChar w:fldCharType="end"/>
            </w:r>
          </w:hyperlink>
        </w:p>
        <w:p w14:paraId="494F8DA1" w14:textId="77777777" w:rsidR="00B62C32" w:rsidRDefault="00B62C32" w:rsidP="000F60A8">
          <w:pPr>
            <w:pStyle w:val="TM1"/>
            <w:tabs>
              <w:tab w:val="left" w:pos="440"/>
              <w:tab w:val="right" w:leader="dot" w:pos="9062"/>
            </w:tabs>
            <w:jc w:val="both"/>
            <w:rPr>
              <w:rFonts w:eastAsiaTheme="minorEastAsia"/>
              <w:noProof/>
              <w:lang w:eastAsia="fr-FR"/>
            </w:rPr>
          </w:pPr>
          <w:hyperlink w:anchor="_Toc104886681" w:history="1">
            <w:r w:rsidRPr="00E8231D">
              <w:rPr>
                <w:rStyle w:val="Lienhypertexte"/>
                <w:noProof/>
              </w:rPr>
              <w:t>3.</w:t>
            </w:r>
            <w:r>
              <w:rPr>
                <w:rFonts w:eastAsiaTheme="minorEastAsia"/>
                <w:noProof/>
                <w:lang w:eastAsia="fr-FR"/>
              </w:rPr>
              <w:tab/>
            </w:r>
            <w:r w:rsidRPr="00E8231D">
              <w:rPr>
                <w:rStyle w:val="Lienhypertexte"/>
                <w:noProof/>
              </w:rPr>
              <w:t>Motivations de la thèse</w:t>
            </w:r>
            <w:r>
              <w:rPr>
                <w:noProof/>
                <w:webHidden/>
              </w:rPr>
              <w:tab/>
            </w:r>
            <w:r>
              <w:rPr>
                <w:noProof/>
                <w:webHidden/>
              </w:rPr>
              <w:fldChar w:fldCharType="begin"/>
            </w:r>
            <w:r>
              <w:rPr>
                <w:noProof/>
                <w:webHidden/>
              </w:rPr>
              <w:instrText xml:space="preserve"> PAGEREF _Toc104886681 \h </w:instrText>
            </w:r>
            <w:r>
              <w:rPr>
                <w:noProof/>
                <w:webHidden/>
              </w:rPr>
            </w:r>
            <w:r>
              <w:rPr>
                <w:noProof/>
                <w:webHidden/>
              </w:rPr>
              <w:fldChar w:fldCharType="separate"/>
            </w:r>
            <w:r>
              <w:rPr>
                <w:noProof/>
                <w:webHidden/>
              </w:rPr>
              <w:t>31</w:t>
            </w:r>
            <w:r>
              <w:rPr>
                <w:noProof/>
                <w:webHidden/>
              </w:rPr>
              <w:fldChar w:fldCharType="end"/>
            </w:r>
          </w:hyperlink>
        </w:p>
        <w:p w14:paraId="0BF93774" w14:textId="77777777" w:rsidR="00B62C32" w:rsidRDefault="00B62C32" w:rsidP="000F60A8">
          <w:pPr>
            <w:pStyle w:val="TM1"/>
            <w:tabs>
              <w:tab w:val="right" w:leader="dot" w:pos="9062"/>
            </w:tabs>
            <w:jc w:val="both"/>
            <w:rPr>
              <w:rFonts w:eastAsiaTheme="minorEastAsia"/>
              <w:noProof/>
              <w:lang w:eastAsia="fr-FR"/>
            </w:rPr>
          </w:pPr>
          <w:hyperlink w:anchor="_Toc104886682" w:history="1">
            <w:r w:rsidRPr="00E8231D">
              <w:rPr>
                <w:rStyle w:val="Lienhypertexte"/>
                <w:noProof/>
                <w:spacing w:val="-10"/>
                <w:kern w:val="28"/>
              </w:rPr>
              <w:t>Références</w:t>
            </w:r>
            <w:r>
              <w:rPr>
                <w:noProof/>
                <w:webHidden/>
              </w:rPr>
              <w:tab/>
            </w:r>
            <w:r>
              <w:rPr>
                <w:noProof/>
                <w:webHidden/>
              </w:rPr>
              <w:fldChar w:fldCharType="begin"/>
            </w:r>
            <w:r>
              <w:rPr>
                <w:noProof/>
                <w:webHidden/>
              </w:rPr>
              <w:instrText xml:space="preserve"> PAGEREF _Toc104886682 \h </w:instrText>
            </w:r>
            <w:r>
              <w:rPr>
                <w:noProof/>
                <w:webHidden/>
              </w:rPr>
            </w:r>
            <w:r>
              <w:rPr>
                <w:noProof/>
                <w:webHidden/>
              </w:rPr>
              <w:fldChar w:fldCharType="separate"/>
            </w:r>
            <w:r>
              <w:rPr>
                <w:noProof/>
                <w:webHidden/>
              </w:rPr>
              <w:t>32</w:t>
            </w:r>
            <w:r>
              <w:rPr>
                <w:noProof/>
                <w:webHidden/>
              </w:rPr>
              <w:fldChar w:fldCharType="end"/>
            </w:r>
          </w:hyperlink>
        </w:p>
        <w:p w14:paraId="039EA860" w14:textId="77777777" w:rsidR="000505C3" w:rsidRDefault="000505C3" w:rsidP="000F60A8">
          <w:pPr>
            <w:jc w:val="both"/>
            <w:rPr>
              <w:b/>
              <w:bCs/>
            </w:rPr>
          </w:pPr>
          <w:r>
            <w:rPr>
              <w:b/>
              <w:bCs/>
            </w:rPr>
            <w:fldChar w:fldCharType="end"/>
          </w:r>
        </w:p>
      </w:sdtContent>
    </w:sdt>
    <w:p w14:paraId="78AE2E4F" w14:textId="77777777" w:rsidR="007B3461" w:rsidRDefault="007B3461" w:rsidP="000F60A8">
      <w:pPr>
        <w:jc w:val="both"/>
      </w:pPr>
    </w:p>
    <w:p w14:paraId="4D3378D2" w14:textId="77777777" w:rsidR="00423728" w:rsidRDefault="00423728" w:rsidP="000F60A8">
      <w:pPr>
        <w:jc w:val="both"/>
        <w:rPr>
          <w:rFonts w:asciiTheme="majorHAnsi" w:eastAsiaTheme="majorEastAsia" w:hAnsiTheme="majorHAnsi" w:cstheme="majorBidi"/>
          <w:sz w:val="32"/>
          <w:szCs w:val="32"/>
        </w:rPr>
      </w:pPr>
      <w:r>
        <w:br w:type="page"/>
      </w:r>
    </w:p>
    <w:p w14:paraId="7B09E795" w14:textId="22147B21" w:rsidR="00B801CD" w:rsidRDefault="00B801CD" w:rsidP="000F60A8">
      <w:pPr>
        <w:pStyle w:val="Titre"/>
        <w:jc w:val="both"/>
      </w:pPr>
      <w:r>
        <w:lastRenderedPageBreak/>
        <w:t>Etat de l’art</w:t>
      </w:r>
    </w:p>
    <w:p w14:paraId="4AAEEE53" w14:textId="77777777" w:rsidR="00423728" w:rsidRPr="00B801CD" w:rsidRDefault="007B3461" w:rsidP="000F60A8">
      <w:pPr>
        <w:pStyle w:val="Titre1"/>
        <w:jc w:val="both"/>
      </w:pPr>
      <w:bookmarkStart w:id="0" w:name="_Toc104886650"/>
      <w:r w:rsidRPr="00B801CD">
        <w:t>Goniométrie</w:t>
      </w:r>
      <w:bookmarkEnd w:id="0"/>
    </w:p>
    <w:p w14:paraId="68F803C6" w14:textId="35C61765" w:rsidR="007B5442" w:rsidRPr="00423728" w:rsidRDefault="00423728" w:rsidP="000F60A8">
      <w:pPr>
        <w:jc w:val="both"/>
      </w:pPr>
      <w:r>
        <w:t>L’objectif de cette partie est de réaliser l’étude de l’existant en ce qui concerne les applications de goniométrie. Pour cela, nous définirons dans un premier temps les différentes techniques de goniométrie, puis nous présenterons quelques antennes typiques destinées à cet applicatif présent</w:t>
      </w:r>
      <w:r w:rsidR="00B62C32">
        <w:t>es</w:t>
      </w:r>
      <w:r>
        <w:t xml:space="preserve"> dans la littérature.</w:t>
      </w:r>
    </w:p>
    <w:p w14:paraId="0F0AE7AA" w14:textId="77777777" w:rsidR="007B3461" w:rsidRPr="00B801CD" w:rsidRDefault="007B3461" w:rsidP="000F60A8">
      <w:pPr>
        <w:pStyle w:val="Titre2"/>
        <w:jc w:val="both"/>
      </w:pPr>
      <w:bookmarkStart w:id="1" w:name="_Toc104886651"/>
      <w:r w:rsidRPr="00B801CD">
        <w:t xml:space="preserve">Définition, historique et </w:t>
      </w:r>
      <w:commentRangeStart w:id="2"/>
      <w:r w:rsidRPr="00B801CD">
        <w:t>applications dans les domaines civil et militaire</w:t>
      </w:r>
      <w:commentRangeEnd w:id="2"/>
      <w:r w:rsidR="00435C6C">
        <w:rPr>
          <w:rStyle w:val="Marquedecommentaire"/>
          <w:rFonts w:asciiTheme="minorHAnsi" w:eastAsia="Batang" w:hAnsiTheme="minorHAnsi" w:cstheme="minorBidi"/>
        </w:rPr>
        <w:commentReference w:id="2"/>
      </w:r>
      <w:bookmarkEnd w:id="1"/>
    </w:p>
    <w:p w14:paraId="096C218F" w14:textId="16EFD041" w:rsidR="0019106D" w:rsidRDefault="007B5442" w:rsidP="000F60A8">
      <w:pPr>
        <w:jc w:val="both"/>
      </w:pPr>
      <w:r>
        <w:t>La radiogoniométrie, la localisation des sources via les angles d’incidence de</w:t>
      </w:r>
      <w:r w:rsidR="00B73D89">
        <w:t xml:space="preserve">s </w:t>
      </w:r>
      <w:r>
        <w:t>onde</w:t>
      </w:r>
      <w:r w:rsidR="00B73D89">
        <w:t>s</w:t>
      </w:r>
      <w:r>
        <w:t xml:space="preserve"> </w:t>
      </w:r>
      <w:r w:rsidR="00CC4EE6">
        <w:t>électromagnétiques</w:t>
      </w:r>
      <w:r>
        <w:t xml:space="preserve">, est une application fondamentale en radio surveillance aussi bien dans le domaine militaire que civil. En effet, elle y constitue la base des réactions et alertes des forces tactiques présentes dans les opérations militaires. Elle est utilisée aussi bien dans </w:t>
      </w:r>
      <w:r w:rsidR="00CC4EE6">
        <w:t xml:space="preserve">le domaine terrestre, aérien ou </w:t>
      </w:r>
      <w:r w:rsidR="00110125">
        <w:t>maritime.</w:t>
      </w:r>
    </w:p>
    <w:p w14:paraId="512ECD43" w14:textId="7A967610" w:rsidR="00571A83" w:rsidRDefault="003E2839" w:rsidP="000F60A8">
      <w:pPr>
        <w:jc w:val="both"/>
      </w:pPr>
      <w:r>
        <w:t>Historiquement, c</w:t>
      </w:r>
      <w:r w:rsidR="00571A83">
        <w:t>ette application a été imaginée dès les débuts des communications sans fils, puis a été développée afin d’améliorer les capacités de détections et d’estimations des systèmes goniométriques via les avancées technologiques dans le domaine de l’électronique et du traitement de signal.</w:t>
      </w:r>
      <w:r w:rsidR="004E5978">
        <w:t xml:space="preserve"> Une des premières utilisations de la radiogoniométrie dans le domaine maritime a été l’utilisation de radiophares, qui sont des balises radio émettant un signal continu ou périodique pouvant être implanté</w:t>
      </w:r>
      <w:r w:rsidR="00CE422D">
        <w:t>s</w:t>
      </w:r>
      <w:r w:rsidR="004E5978">
        <w:t xml:space="preserve"> en milieu terrestre ou sur une plateforme en mer. </w:t>
      </w:r>
      <w:r w:rsidR="00B62C32">
        <w:t>Grâce à un goniomètre</w:t>
      </w:r>
      <w:r w:rsidR="0070388E">
        <w:t>, un bateau pourra non seulement déterminer la position de ces émetteurs, mais pourra également déterminer sa position via la pos</w:t>
      </w:r>
      <w:r w:rsidR="00CE422D">
        <w:t>ition de plusieurs radiophares environnants</w:t>
      </w:r>
      <w:r w:rsidR="0070388E">
        <w:t>. Les premiers radiophares de France ont étés implantés en 1911 à l’entrée du port de Brest, travaillant dans la plage de fréquence [2 – 3.5 MHz]</w:t>
      </w:r>
      <w:r w:rsidR="00C359E3">
        <w:t>, bande qui était utilisée à l’époque pour la télégraphie sans fil</w:t>
      </w:r>
      <w:r w:rsidR="0070388E">
        <w:t>.</w:t>
      </w:r>
      <w:r w:rsidR="00C359E3">
        <w:t xml:space="preserve"> De nos jours les radiophares sont devenus obsolètes dû à l’arrivée du GPS qui </w:t>
      </w:r>
      <w:r w:rsidR="0047203E">
        <w:t>offre une meilleure précision</w:t>
      </w:r>
      <w:r w:rsidR="00C359E3">
        <w:t>.</w:t>
      </w:r>
    </w:p>
    <w:p w14:paraId="07223229" w14:textId="3BCCF23C" w:rsidR="00110125" w:rsidRDefault="00100AED" w:rsidP="000F60A8">
      <w:pPr>
        <w:jc w:val="both"/>
      </w:pPr>
      <w:r>
        <w:t>Aujourd’hui, d</w:t>
      </w:r>
      <w:r w:rsidR="00110125">
        <w:t>ans le domaine civil, la radiolocalisation contribue à la résolution de problèmes liés au brouillage et aux interférences, ainsi qu’aux mesures de contrôles afin de réguler les émissions dans le spectre des fréquences.</w:t>
      </w:r>
    </w:p>
    <w:p w14:paraId="091509B6" w14:textId="3C220469" w:rsidR="00110125" w:rsidRDefault="00110125" w:rsidP="000F60A8">
      <w:pPr>
        <w:jc w:val="both"/>
      </w:pPr>
      <w:r>
        <w:t xml:space="preserve">Dans le domaine militaire, l’objectif est d’intercepter les angles des sources d’émissions, qui sont généralement des radars ou bien des systèmes communicants, permettant alors d’estimer la direction et le positionnement des systèmes environnants. La radiogoniométrie fait partie de la branche de </w:t>
      </w:r>
      <w:r w:rsidR="000A035C">
        <w:t>COMINT</w:t>
      </w:r>
      <w:r>
        <w:t xml:space="preserve"> (</w:t>
      </w:r>
      <w:r w:rsidR="000A035C">
        <w:t>Communication</w:t>
      </w:r>
      <w:r>
        <w:t xml:space="preserve"> Intelligence) qui concerne toutes les applications militaires qui ont pour but </w:t>
      </w:r>
      <w:r w:rsidR="00B62C32">
        <w:t>de détecter et</w:t>
      </w:r>
      <w:r w:rsidR="000A035C">
        <w:t xml:space="preserve"> d’analyser les émissions électromagnétiques afin d’obtenir des renseignements</w:t>
      </w:r>
      <w:r>
        <w:t>, permettant l’identification des signaux et d’appliquer des contres–mesures telles que le brouillage.</w:t>
      </w:r>
      <w:r w:rsidR="000C5DC9">
        <w:t xml:space="preserve"> Grâce aux interceptions des ondes et de la radiogoniométrie, une définition de la situation tactique est ensuite perçue par l’utilisateur</w:t>
      </w:r>
      <w:r w:rsidR="00EF0F49">
        <w:t xml:space="preserve"> avec un système </w:t>
      </w:r>
      <w:r w:rsidR="000C5DC9">
        <w:t>C-ESM (Communication Electronic Support Measures)</w:t>
      </w:r>
      <w:r w:rsidR="00EF0F49">
        <w:t xml:space="preserve"> présentant une interface homme machine.</w:t>
      </w:r>
      <w:r w:rsidR="00B62C32">
        <w:t xml:space="preserve"> Les radiogoniomètres opèrent de la bande UHF [300-1000 MHz] jusqu’à la bande Ka [33.4-37 GHz] pour couvrir toutes les émissions radar ou de systèmes communicants. </w:t>
      </w:r>
    </w:p>
    <w:p w14:paraId="45D4BC3B" w14:textId="77777777" w:rsidR="003C1B66" w:rsidRDefault="007B3461" w:rsidP="000F60A8">
      <w:pPr>
        <w:pStyle w:val="Titre2"/>
        <w:jc w:val="both"/>
      </w:pPr>
      <w:bookmarkStart w:id="3" w:name="_Toc104886652"/>
      <w:r>
        <w:t>Techniques de goniométrie</w:t>
      </w:r>
      <w:bookmarkEnd w:id="3"/>
    </w:p>
    <w:p w14:paraId="7C4F6A6F" w14:textId="54E1B665" w:rsidR="00915DC7" w:rsidRDefault="0065097C" w:rsidP="000F60A8">
      <w:pPr>
        <w:jc w:val="both"/>
      </w:pPr>
      <w:r>
        <w:t xml:space="preserve">Plusieurs techniques de goniométrie existent, chacune ayant des applications spécifiques. </w:t>
      </w:r>
      <w:r w:rsidR="00915DC7">
        <w:t xml:space="preserve">La plupart de ces techniques ont </w:t>
      </w:r>
      <w:r w:rsidR="003C5F5A">
        <w:t>pour but de mesurer les écarts de phase</w:t>
      </w:r>
      <w:r w:rsidR="00835686">
        <w:t>, de fréquence</w:t>
      </w:r>
      <w:r w:rsidR="003C5F5A">
        <w:t xml:space="preserve"> ou bien d’amplitude</w:t>
      </w:r>
      <w:r w:rsidR="00915DC7">
        <w:t xml:space="preserve"> afin de déte</w:t>
      </w:r>
      <w:r w:rsidR="00B62C32">
        <w:t>rminer la direction d’arrivée des signaux, menant ainsi à leur</w:t>
      </w:r>
      <w:r w:rsidR="00915DC7">
        <w:t xml:space="preserve"> source. </w:t>
      </w:r>
    </w:p>
    <w:p w14:paraId="5842FDEE" w14:textId="6F36026F" w:rsidR="00AB1272" w:rsidRPr="00AB1272" w:rsidRDefault="00AB1272" w:rsidP="000F60A8">
      <w:pPr>
        <w:pStyle w:val="Titre3"/>
        <w:jc w:val="both"/>
      </w:pPr>
      <w:bookmarkStart w:id="4" w:name="_Toc104886653"/>
      <w:r>
        <w:lastRenderedPageBreak/>
        <w:t>Comparaison d’amplitude</w:t>
      </w:r>
      <w:bookmarkEnd w:id="4"/>
    </w:p>
    <w:p w14:paraId="3350C70D" w14:textId="74FCB883" w:rsidR="00AB1272" w:rsidRPr="00B1596F" w:rsidRDefault="00974455" w:rsidP="000F60A8">
      <w:pPr>
        <w:pStyle w:val="Titre4"/>
        <w:jc w:val="both"/>
      </w:pPr>
      <w:r>
        <w:t>Méthodes</w:t>
      </w:r>
      <w:r w:rsidR="00AB1272" w:rsidRPr="00B1596F">
        <w:t xml:space="preserve"> manuelle</w:t>
      </w:r>
      <w:r>
        <w:t>s &amp; automatiques</w:t>
      </w:r>
    </w:p>
    <w:p w14:paraId="6EFEF105" w14:textId="76D7EF85" w:rsidR="00AB1272" w:rsidRDefault="00AB1272" w:rsidP="000F60A8">
      <w:pPr>
        <w:jc w:val="both"/>
      </w:pPr>
      <w:r>
        <w:t>Les méthodes manuelles vont estimer la localisation d’une source via un opérateur se déplaçant avec une antenne lui indiquant approximativement d’où vient le signal avec le plus d’amplitude. Il s’agit donc d’une technique d’estimation de puissance d’arrivée, consistant non pas à mesurer des écarts d’angles mais des écarts de puissance, le but étant de trouver la puissance maximale selon une large couverture angulaire. Les antennes utilisées sont généralement directives, par exemple des antennes log périodiques ou cornet, et peuvent être fixes (montées sur un mât) ou bien portables, leur permettant d’être facilement déployable sur le terrain. Cependant, cette technique a pour défaut de ne pas être précise</w:t>
      </w:r>
      <w:r w:rsidR="00253D96">
        <w:t xml:space="preserve"> (&gt; 2° RMS)</w:t>
      </w:r>
      <w:r w:rsidR="00180F84">
        <w:t xml:space="preserve"> [</w:t>
      </w:r>
      <w:commentRangeStart w:id="5"/>
      <w:r w:rsidR="00180F84">
        <w:t>Ref</w:t>
      </w:r>
      <w:commentRangeEnd w:id="5"/>
      <w:r w:rsidR="00180F84">
        <w:rPr>
          <w:rStyle w:val="Marquedecommentaire"/>
        </w:rPr>
        <w:commentReference w:id="5"/>
      </w:r>
      <w:r w:rsidR="00180F84">
        <w:t>]</w:t>
      </w:r>
      <w:r>
        <w:t>, notamment pour des cibles à plus d’une centaine de mètre de distance, et il convient alors à l’opérateur de déterminer quelle est la direction la plus susceptible de c</w:t>
      </w:r>
      <w:r w:rsidR="00180F84">
        <w:t>ontenir</w:t>
      </w:r>
      <w:r>
        <w:t xml:space="preserve"> le signal source (ajoutant encore une fois une incertitude, ici due au facteur humain). Cette méthode est principalement utilisée dans le domaine civil pour détecter et localiser des sources d’interférences et les émissions radio</w:t>
      </w:r>
      <w:r w:rsidR="000F60A8">
        <w:t>fréquences</w:t>
      </w:r>
      <w:r>
        <w:t xml:space="preserve"> non licenciés.</w:t>
      </w:r>
    </w:p>
    <w:p w14:paraId="45714F0B" w14:textId="77777777" w:rsidR="00AB1272" w:rsidRDefault="00AB1272" w:rsidP="000F60A8">
      <w:pPr>
        <w:keepNext/>
        <w:jc w:val="center"/>
      </w:pPr>
      <w:r>
        <w:rPr>
          <w:noProof/>
          <w:lang w:eastAsia="fr-FR"/>
        </w:rPr>
        <w:drawing>
          <wp:inline distT="0" distB="0" distL="0" distR="0" wp14:anchorId="32D4A197" wp14:editId="2247EDF5">
            <wp:extent cx="2466975" cy="2075509"/>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2258" cy="2079954"/>
                    </a:xfrm>
                    <a:prstGeom prst="rect">
                      <a:avLst/>
                    </a:prstGeom>
                  </pic:spPr>
                </pic:pic>
              </a:graphicData>
            </a:graphic>
          </wp:inline>
        </w:drawing>
      </w:r>
    </w:p>
    <w:p w14:paraId="204AC1F1" w14:textId="0E0D67B8" w:rsidR="00AB1272" w:rsidRDefault="00AB1272" w:rsidP="000F60A8">
      <w:pPr>
        <w:pStyle w:val="Lgende"/>
        <w:jc w:val="center"/>
        <w:rPr>
          <w:noProof/>
        </w:rPr>
      </w:pPr>
      <w:r>
        <w:t xml:space="preserve">Figure </w:t>
      </w:r>
      <w:r>
        <w:fldChar w:fldCharType="begin"/>
      </w:r>
      <w:r>
        <w:instrText xml:space="preserve"> SEQ Figure \* ARABIC </w:instrText>
      </w:r>
      <w:r>
        <w:fldChar w:fldCharType="separate"/>
      </w:r>
      <w:r w:rsidR="00F54830">
        <w:rPr>
          <w:noProof/>
        </w:rPr>
        <w:t>1</w:t>
      </w:r>
      <w:r>
        <w:fldChar w:fldCharType="end"/>
      </w:r>
      <w:r>
        <w:t xml:space="preserve"> : Antenne manuelle à application radiogoniométrie, DF-A0047</w:t>
      </w:r>
      <w:r>
        <w:rPr>
          <w:noProof/>
        </w:rPr>
        <w:t xml:space="preserve"> de Alaris</w:t>
      </w:r>
    </w:p>
    <w:p w14:paraId="0698F919" w14:textId="1E3F5F6B" w:rsidR="00B1596F" w:rsidRDefault="00B1596F" w:rsidP="000F60A8">
      <w:pPr>
        <w:jc w:val="both"/>
      </w:pPr>
      <w:r>
        <w:t xml:space="preserve">Les méthodes automatiques vont concerner les systèmes calculant automatiquement la direction d’angle d’arrivé du signal reçu à l’aide d’une technique de radiogoniométrie. Cette méthode est bien plus précise que la radiogoniométrie manuelle, et est utilisée dans toutes les applications militaires. Par la suite, nous allons décrire les méthodes </w:t>
      </w:r>
      <w:r w:rsidR="00974455">
        <w:t xml:space="preserve">automatiques </w:t>
      </w:r>
      <w:r>
        <w:t>les plus employées.</w:t>
      </w:r>
    </w:p>
    <w:p w14:paraId="3598E097" w14:textId="4C52DF3D" w:rsidR="00B1596F" w:rsidRDefault="00B1596F" w:rsidP="000F60A8">
      <w:pPr>
        <w:jc w:val="both"/>
      </w:pPr>
      <w:r>
        <w:t xml:space="preserve">Cependant, toutes ces techniques ne permettent pas d’obtenir d’information sur la distance, mais uniquement sur la direction dans laquelle </w:t>
      </w:r>
      <w:r w:rsidR="002B6913">
        <w:t xml:space="preserve">se trouve </w:t>
      </w:r>
      <w:r>
        <w:t>la source par rapport au récepteur. Pour trouver la posi</w:t>
      </w:r>
      <w:r w:rsidR="008873BC">
        <w:t>tion de cette dernière, on utilise</w:t>
      </w:r>
      <w:r>
        <w:t xml:space="preserve"> au moins deux systèmes radiogoniométriques supplémentaires afin d’affiner la recherche, via une triangulation, donnant généralement une ellipse définissant le périmètre susceptible de contenir la source.</w:t>
      </w:r>
    </w:p>
    <w:p w14:paraId="44ECD6A6" w14:textId="77777777" w:rsidR="00B1596F" w:rsidRDefault="00B1596F" w:rsidP="00180F84">
      <w:pPr>
        <w:keepNext/>
        <w:jc w:val="center"/>
      </w:pPr>
      <w:r>
        <w:rPr>
          <w:noProof/>
          <w:lang w:eastAsia="fr-FR"/>
        </w:rPr>
        <w:lastRenderedPageBreak/>
        <w:drawing>
          <wp:inline distT="0" distB="0" distL="0" distR="0" wp14:anchorId="33355689" wp14:editId="2045A621">
            <wp:extent cx="2588613" cy="1984375"/>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3448" cy="1988081"/>
                    </a:xfrm>
                    <a:prstGeom prst="rect">
                      <a:avLst/>
                    </a:prstGeom>
                  </pic:spPr>
                </pic:pic>
              </a:graphicData>
            </a:graphic>
          </wp:inline>
        </w:drawing>
      </w:r>
      <w:r>
        <w:rPr>
          <w:noProof/>
          <w:lang w:eastAsia="fr-FR"/>
        </w:rPr>
        <w:drawing>
          <wp:inline distT="0" distB="0" distL="0" distR="0" wp14:anchorId="2B030A18" wp14:editId="2EA706D9">
            <wp:extent cx="2552700" cy="196811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7855" cy="1979796"/>
                    </a:xfrm>
                    <a:prstGeom prst="rect">
                      <a:avLst/>
                    </a:prstGeom>
                  </pic:spPr>
                </pic:pic>
              </a:graphicData>
            </a:graphic>
          </wp:inline>
        </w:drawing>
      </w:r>
    </w:p>
    <w:p w14:paraId="7597B2F3" w14:textId="5C28CC55" w:rsidR="00B1596F" w:rsidRDefault="00B1596F" w:rsidP="00180F84">
      <w:pPr>
        <w:pStyle w:val="Lgende"/>
        <w:jc w:val="center"/>
      </w:pPr>
      <w:r>
        <w:t xml:space="preserve">Figure </w:t>
      </w:r>
      <w:r>
        <w:fldChar w:fldCharType="begin"/>
      </w:r>
      <w:r>
        <w:instrText xml:space="preserve"> SEQ Figure \* ARABIC </w:instrText>
      </w:r>
      <w:r>
        <w:fldChar w:fldCharType="separate"/>
      </w:r>
      <w:r w:rsidR="00F54830">
        <w:rPr>
          <w:noProof/>
        </w:rPr>
        <w:t>2</w:t>
      </w:r>
      <w:r>
        <w:fldChar w:fldCharType="end"/>
      </w:r>
      <w:r>
        <w:t xml:space="preserve"> : à gauche : détermination de l'angle d'arrivée via un récepteur ; à droite : détermination de la position de la source via triangulation ; R&amp;S</w:t>
      </w:r>
    </w:p>
    <w:p w14:paraId="3A36837C" w14:textId="77777777" w:rsidR="001D5331" w:rsidRDefault="001D5331" w:rsidP="000F60A8">
      <w:pPr>
        <w:pStyle w:val="Titre4"/>
        <w:jc w:val="both"/>
      </w:pPr>
      <w:r>
        <w:t>Watson-Watt</w:t>
      </w:r>
    </w:p>
    <w:p w14:paraId="585EEFB5" w14:textId="10896521" w:rsidR="001D5331" w:rsidRDefault="001D5331" w:rsidP="000F60A8">
      <w:pPr>
        <w:jc w:val="both"/>
      </w:pPr>
      <w:r>
        <w:t>La méthodologie Watson-Watt a été inventée ap</w:t>
      </w:r>
      <w:r w:rsidR="00180F84">
        <w:t>rès la première Guerre Mondiale</w:t>
      </w:r>
      <w:r>
        <w:t xml:space="preserve"> dans les années 1920, ce qui en fait l’une des premières méthodes de radiogoniométrie. Elle utilise la comparaison d’amplitude pour obtenir l’estimation de la position de la source. Le principe consiste à utiliser des antennes possédant un diagramme azimutal omnidirect</w:t>
      </w:r>
      <w:r w:rsidR="008A7FDF">
        <w:t xml:space="preserve">ionnel, telles que des monopoles, dipôles, </w:t>
      </w:r>
      <w:r>
        <w:t xml:space="preserve">boucles croisées ou Adcock, et </w:t>
      </w:r>
      <w:r w:rsidR="0036194B">
        <w:t xml:space="preserve">les </w:t>
      </w:r>
      <w:r w:rsidR="001B2F8D">
        <w:t xml:space="preserve">disposer </w:t>
      </w:r>
      <w:r w:rsidR="00180F84">
        <w:t xml:space="preserve">de manière à obtenir des diagrammes omnidirectionnels selon les </w:t>
      </w:r>
      <w:r>
        <w:t>axes « Nord-Sud » et « Est-Ouest ». Ainsi, en fonction de l’angle d’arrivé du signal sur le système, on peut déterminer sa direction d’arrivé avec l’amplitude mesurée sur chaque antenne.</w:t>
      </w:r>
    </w:p>
    <w:p w14:paraId="4D1ECD6B" w14:textId="77777777" w:rsidR="001D5331" w:rsidRDefault="001D5331" w:rsidP="000F60A8">
      <w:pPr>
        <w:jc w:val="both"/>
      </w:pPr>
      <w:r>
        <w:t>Cette méthode est utilisée dans les bandes de fréquence HF et VHF car il est possible d’utiliser des antennes électriquement petites à ces fréquences tout en ayant de bons résultats telles qu’une réponse impulsionnelle rapide ainsi qu’une bonne précision d’estimation d’angle d’arrivé. Cependant, elle ne permet pas la mesure en élévation, pouvant impliquer une perte de précision lorsque la hauteur de la source va varier par rapport au récepteur.</w:t>
      </w:r>
    </w:p>
    <w:p w14:paraId="31BB5378" w14:textId="77777777" w:rsidR="001D5331" w:rsidRDefault="001D5331" w:rsidP="00180F84">
      <w:pPr>
        <w:keepNext/>
        <w:jc w:val="center"/>
      </w:pPr>
      <w:r>
        <w:rPr>
          <w:noProof/>
          <w:lang w:eastAsia="fr-FR"/>
        </w:rPr>
        <w:drawing>
          <wp:inline distT="0" distB="0" distL="0" distR="0" wp14:anchorId="0F929C3C" wp14:editId="0680672B">
            <wp:extent cx="2714625" cy="214022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6296" cy="2141543"/>
                    </a:xfrm>
                    <a:prstGeom prst="rect">
                      <a:avLst/>
                    </a:prstGeom>
                  </pic:spPr>
                </pic:pic>
              </a:graphicData>
            </a:graphic>
          </wp:inline>
        </w:drawing>
      </w:r>
    </w:p>
    <w:p w14:paraId="7A7DF503" w14:textId="77777777" w:rsidR="001D5331" w:rsidRDefault="001D5331" w:rsidP="00180F84">
      <w:pPr>
        <w:pStyle w:val="Lgende"/>
        <w:jc w:val="center"/>
      </w:pPr>
      <w:r>
        <w:t xml:space="preserve">Figure </w:t>
      </w:r>
      <w:r>
        <w:fldChar w:fldCharType="begin"/>
      </w:r>
      <w:r>
        <w:instrText xml:space="preserve"> SEQ Figure \* ARABIC </w:instrText>
      </w:r>
      <w:r>
        <w:fldChar w:fldCharType="separate"/>
      </w:r>
      <w:r w:rsidR="00F54830">
        <w:rPr>
          <w:noProof/>
        </w:rPr>
        <w:t>3</w:t>
      </w:r>
      <w:r>
        <w:fldChar w:fldCharType="end"/>
      </w:r>
      <w:r>
        <w:t xml:space="preserve"> : Disposition des  antennes Watson-Watt, R&amp;S</w:t>
      </w:r>
    </w:p>
    <w:p w14:paraId="4D2D6CCD" w14:textId="77777777" w:rsidR="001D5331" w:rsidRDefault="001D5331" w:rsidP="00180F84">
      <w:pPr>
        <w:keepNext/>
        <w:jc w:val="center"/>
      </w:pPr>
      <w:r>
        <w:rPr>
          <w:noProof/>
          <w:lang w:eastAsia="fr-FR"/>
        </w:rPr>
        <w:lastRenderedPageBreak/>
        <w:drawing>
          <wp:inline distT="0" distB="0" distL="0" distR="0" wp14:anchorId="07028709" wp14:editId="07031068">
            <wp:extent cx="2249740" cy="2710061"/>
            <wp:effectExtent l="0" t="0" r="0" b="0"/>
            <wp:docPr id="12" name="Image 12" descr="HF DF Loop Array - 0.3 to 30 MHz (A0016): This DF is a crossed-loop/monopole direction finding antenna for use with Watson Watt method, with a large diameter of 2 m to achieve a high sensitivity. The loops make use of patented cross-polarisation cancelling technology that eliminates disturbances due to cross-polarisation cancelling technology that eliminates disturbances due to cross-polarisation from on-horizon sources. This offers enhanced, reliable accuracy in real-world applications and field trials over traditional crossed-loop designs. The antenna is collapsible for transport and storage. It is made of brass elements and coaxial cable, with aluminium and composite mechanical parts. A lightweight composite tripod supports the antenna above the ground. The tripod collapses to a similar size to the antenna. The required matching, beam-forming and calibration injection circuitry is housed in the base of the antenna. A complete kit of parts including Antenna, Tripod, RF cables on drums, Anchor stakes and Alignment sight, is supplied with each antenna. The complete antenna and all accessories fit into the supplied shippin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 DF Loop Array - 0.3 to 30 MHz (A0016): This DF is a crossed-loop/monopole direction finding antenna for use with Watson Watt method, with a large diameter of 2 m to achieve a high sensitivity. The loops make use of patented cross-polarisation cancelling technology that eliminates disturbances due to cross-polarisation cancelling technology that eliminates disturbances due to cross-polarisation from on-horizon sources. This offers enhanced, reliable accuracy in real-world applications and field trials over traditional crossed-loop designs. The antenna is collapsible for transport and storage. It is made of brass elements and coaxial cable, with aluminium and composite mechanical parts. A lightweight composite tripod supports the antenna above the ground. The tripod collapses to a similar size to the antenna. The required matching, beam-forming and calibration injection circuitry is housed in the base of the antenna. A complete kit of parts including Antenna, Tripod, RF cables on drums, Anchor stakes and Alignment sight, is supplied with each antenna. The complete antenna and all accessories fit into the supplied shipping box.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3838" cy="2714998"/>
                    </a:xfrm>
                    <a:prstGeom prst="rect">
                      <a:avLst/>
                    </a:prstGeom>
                    <a:noFill/>
                    <a:ln>
                      <a:noFill/>
                    </a:ln>
                  </pic:spPr>
                </pic:pic>
              </a:graphicData>
            </a:graphic>
          </wp:inline>
        </w:drawing>
      </w:r>
    </w:p>
    <w:p w14:paraId="62B3BFEC" w14:textId="77777777" w:rsidR="001D5331" w:rsidRDefault="001D5331" w:rsidP="00180F84">
      <w:pPr>
        <w:pStyle w:val="Lgende"/>
        <w:jc w:val="center"/>
        <w:rPr>
          <w:noProof/>
        </w:rPr>
      </w:pPr>
      <w:r>
        <w:t xml:space="preserve">Figure </w:t>
      </w:r>
      <w:r>
        <w:fldChar w:fldCharType="begin"/>
      </w:r>
      <w:r>
        <w:instrText xml:space="preserve"> SEQ Figure \* ARABIC </w:instrText>
      </w:r>
      <w:r>
        <w:fldChar w:fldCharType="separate"/>
      </w:r>
      <w:r w:rsidR="00F54830">
        <w:rPr>
          <w:noProof/>
        </w:rPr>
        <w:t>4</w:t>
      </w:r>
      <w:r>
        <w:fldChar w:fldCharType="end"/>
      </w:r>
      <w:r>
        <w:t xml:space="preserve"> : Antenne à boucle croisée, DF A0016</w:t>
      </w:r>
      <w:r>
        <w:rPr>
          <w:noProof/>
        </w:rPr>
        <w:t xml:space="preserve"> de Alaris, bande [0.3-30 MHz]</w:t>
      </w:r>
    </w:p>
    <w:p w14:paraId="24D6BD91" w14:textId="77777777" w:rsidR="001D5331" w:rsidRDefault="001D5331" w:rsidP="00180F84">
      <w:pPr>
        <w:keepNext/>
        <w:jc w:val="center"/>
      </w:pPr>
      <w:r>
        <w:rPr>
          <w:noProof/>
          <w:lang w:eastAsia="fr-FR"/>
        </w:rPr>
        <w:drawing>
          <wp:inline distT="0" distB="0" distL="0" distR="0" wp14:anchorId="1B9918BC" wp14:editId="5B56AB8D">
            <wp:extent cx="1682224" cy="3257550"/>
            <wp:effectExtent l="0" t="0" r="0" b="0"/>
            <wp:docPr id="13" name="Image 13" descr="DFA-124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A-1248b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3819" cy="3260639"/>
                    </a:xfrm>
                    <a:prstGeom prst="rect">
                      <a:avLst/>
                    </a:prstGeom>
                    <a:noFill/>
                    <a:ln>
                      <a:noFill/>
                    </a:ln>
                  </pic:spPr>
                </pic:pic>
              </a:graphicData>
            </a:graphic>
          </wp:inline>
        </w:drawing>
      </w:r>
    </w:p>
    <w:p w14:paraId="3DD8391B" w14:textId="2560ED2A" w:rsidR="001D5331" w:rsidRPr="001D5331" w:rsidRDefault="001D5331" w:rsidP="00180F84">
      <w:pPr>
        <w:pStyle w:val="Lgende"/>
        <w:jc w:val="center"/>
      </w:pPr>
      <w:r>
        <w:t xml:space="preserve">Figure </w:t>
      </w:r>
      <w:r>
        <w:fldChar w:fldCharType="begin"/>
      </w:r>
      <w:r>
        <w:instrText xml:space="preserve"> SEQ Figure \* ARABIC </w:instrText>
      </w:r>
      <w:r>
        <w:fldChar w:fldCharType="separate"/>
      </w:r>
      <w:r w:rsidR="00F54830">
        <w:rPr>
          <w:noProof/>
        </w:rPr>
        <w:t>5</w:t>
      </w:r>
      <w:r>
        <w:fldChar w:fldCharType="end"/>
      </w:r>
      <w:r>
        <w:t xml:space="preserve"> : Antenne Adcock composée de 4 dipôles, bande [20-174 MHz], DFA-1248B1 de RDF Products</w:t>
      </w:r>
    </w:p>
    <w:p w14:paraId="011A3C15" w14:textId="01B78AC4" w:rsidR="00AB1272" w:rsidRDefault="00AB1272" w:rsidP="000F60A8">
      <w:pPr>
        <w:pStyle w:val="Titre3"/>
        <w:jc w:val="both"/>
      </w:pPr>
      <w:bookmarkStart w:id="6" w:name="_Toc104886654"/>
      <w:r>
        <w:t>Comparaison fréquentielle</w:t>
      </w:r>
      <w:bookmarkEnd w:id="6"/>
    </w:p>
    <w:p w14:paraId="49E39E7E" w14:textId="17F427B7" w:rsidR="00A70CA8" w:rsidRDefault="005A314F" w:rsidP="000F60A8">
      <w:pPr>
        <w:jc w:val="both"/>
      </w:pPr>
      <w:r>
        <w:t>La comparaison fréquentielle utilise</w:t>
      </w:r>
      <w:r w:rsidR="00A70CA8">
        <w:t xml:space="preserve"> le principe de l’effet Doppler-Fizeau : la fréquence du signal perçu augmente lorsque deux objets (émetteur et récepteur) se rapprochent, et diminue lorsqu’ils s’éloignent.</w:t>
      </w:r>
    </w:p>
    <w:p w14:paraId="3C4435FE" w14:textId="77777777" w:rsidR="00A70CA8" w:rsidRDefault="00A70CA8" w:rsidP="00180F84">
      <w:pPr>
        <w:keepNext/>
        <w:jc w:val="center"/>
      </w:pPr>
      <w:r>
        <w:rPr>
          <w:noProof/>
          <w:lang w:eastAsia="fr-FR"/>
        </w:rPr>
        <w:lastRenderedPageBreak/>
        <w:drawing>
          <wp:inline distT="0" distB="0" distL="0" distR="0" wp14:anchorId="689BA66F" wp14:editId="364CE9B5">
            <wp:extent cx="4600575" cy="1473178"/>
            <wp:effectExtent l="0" t="0" r="0" b="0"/>
            <wp:docPr id="6" name="Image 6" descr="https://upload.wikimedia.org/wikipedia/commons/thumb/7/7f/Doppler_effect_diagrammatic.svg/1024px-Doppler_effect_diagram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f/Doppler_effect_diagrammatic.svg/1024px-Doppler_effect_diagrammatic.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0001" cy="1479399"/>
                    </a:xfrm>
                    <a:prstGeom prst="rect">
                      <a:avLst/>
                    </a:prstGeom>
                    <a:noFill/>
                    <a:ln>
                      <a:noFill/>
                    </a:ln>
                  </pic:spPr>
                </pic:pic>
              </a:graphicData>
            </a:graphic>
          </wp:inline>
        </w:drawing>
      </w:r>
    </w:p>
    <w:p w14:paraId="1FD83288" w14:textId="77777777" w:rsidR="00A70CA8" w:rsidRDefault="00A70CA8" w:rsidP="00180F84">
      <w:pPr>
        <w:pStyle w:val="Lgende"/>
        <w:jc w:val="center"/>
      </w:pPr>
      <w:r>
        <w:t xml:space="preserve">Figure </w:t>
      </w:r>
      <w:r>
        <w:fldChar w:fldCharType="begin"/>
      </w:r>
      <w:r>
        <w:instrText xml:space="preserve"> SEQ Figure \* ARABIC </w:instrText>
      </w:r>
      <w:r>
        <w:fldChar w:fldCharType="separate"/>
      </w:r>
      <w:r w:rsidR="00F54830">
        <w:rPr>
          <w:noProof/>
        </w:rPr>
        <w:t>6</w:t>
      </w:r>
      <w:r>
        <w:fldChar w:fldCharType="end"/>
      </w:r>
      <w:r>
        <w:t xml:space="preserve"> : Effet Doppler-Fizeau, wikipedia</w:t>
      </w:r>
    </w:p>
    <w:p w14:paraId="44175C67" w14:textId="15E42609" w:rsidR="00A70CA8" w:rsidRDefault="00A70CA8" w:rsidP="000F60A8">
      <w:pPr>
        <w:jc w:val="both"/>
      </w:pPr>
      <w:r>
        <w:t xml:space="preserve">On peut alors imaginer un système en mouvement par rapport à la source, ce qui induirait un shift de fréquence, permettant de déterminer si l’on se déplace vers la source ou si au contraire on s’en éloigne. Pour cela, on peut utiliser le principe d’une antenne </w:t>
      </w:r>
      <w:r w:rsidR="00D23A8F">
        <w:t xml:space="preserve">omnidirectionnelle, </w:t>
      </w:r>
      <w:r w:rsidR="00FF1647">
        <w:t>tournant</w:t>
      </w:r>
      <w:r w:rsidR="007C1994">
        <w:t xml:space="preserve"> à une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oMath>
      <w:r w:rsidR="00FF1647">
        <w:t xml:space="preserve"> suivant un paterne circulaire</w:t>
      </w:r>
      <w:r w:rsidR="007C1994">
        <w:t xml:space="preserve"> de rayon </w:t>
      </w:r>
      <w:r w:rsidR="007C1994" w:rsidRPr="007C1994">
        <w:rPr>
          <w:i/>
        </w:rPr>
        <w:t>R</w:t>
      </w:r>
      <w:r>
        <w:t xml:space="preserve">, </w:t>
      </w:r>
      <w:r w:rsidR="00045F52">
        <w:t xml:space="preserve">et </w:t>
      </w:r>
      <w:r>
        <w:t>où l’on va mesurer le shift en fréquence sur chacun de ses angles.</w:t>
      </w:r>
      <w:r w:rsidR="007C1994">
        <w:t xml:space="preserve"> Le signal reçu </w:t>
      </w:r>
      <m:oMath>
        <m:sSub>
          <m:sSubPr>
            <m:ctrlPr>
              <w:rPr>
                <w:rFonts w:ascii="Cambria Math" w:hAnsi="Cambria Math"/>
                <w:i/>
              </w:rPr>
            </m:ctrlPr>
          </m:sSubPr>
          <m:e>
            <m:r>
              <w:rPr>
                <w:rFonts w:ascii="Cambria Math" w:hAnsi="Cambria Math"/>
              </w:rPr>
              <m:t>x</m:t>
            </m:r>
          </m:e>
          <m:sub>
            <m:r>
              <w:rPr>
                <w:rFonts w:ascii="Cambria Math" w:hAnsi="Cambria Math"/>
              </w:rPr>
              <m:t>sys</m:t>
            </m:r>
          </m:sub>
        </m:sSub>
      </m:oMath>
      <w:r w:rsidR="009C3258">
        <w:t xml:space="preserve"> </w:t>
      </w:r>
      <w:r w:rsidR="007C1994">
        <w:t>par ce système peut être décrit par l’équation</w:t>
      </w:r>
    </w:p>
    <w:p w14:paraId="71B0F966" w14:textId="7BA7512F" w:rsidR="007C1994" w:rsidRDefault="007C1994" w:rsidP="000F60A8">
      <w:pPr>
        <w:jc w:val="both"/>
      </w:pPr>
      <m:oMathPara>
        <m:oMath>
          <m:sSub>
            <m:sSubPr>
              <m:ctrlPr>
                <w:rPr>
                  <w:rFonts w:ascii="Cambria Math" w:hAnsi="Cambria Math"/>
                  <w:i/>
                </w:rPr>
              </m:ctrlPr>
            </m:sSubPr>
            <m:e>
              <m:r>
                <w:rPr>
                  <w:rFonts w:ascii="Cambria Math" w:hAnsi="Cambria Math"/>
                </w:rPr>
                <m:t>x</m:t>
              </m:r>
            </m:e>
            <m:sub>
              <m:r>
                <w:rPr>
                  <w:rFonts w:ascii="Cambria Math" w:hAnsi="Cambria Math"/>
                </w:rPr>
                <m:t>sys</m:t>
              </m:r>
            </m:sub>
          </m:sSub>
          <m:r>
            <w:rPr>
              <w:rFonts w:ascii="Cambria Math" w:hAnsi="Cambria Math"/>
            </w:rPr>
            <m:t>(t)</m:t>
          </m:r>
          <m:r>
            <w:rPr>
              <w:rFonts w:ascii="Cambria Math" w:hAnsi="Cambria Math"/>
            </w:rPr>
            <m:t>=Acos(2π</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t+φ+m</m:t>
          </m:r>
          <m:d>
            <m:dPr>
              <m:ctrlPr>
                <w:rPr>
                  <w:rFonts w:ascii="Cambria Math" w:hAnsi="Cambria Math"/>
                  <w:i/>
                </w:rPr>
              </m:ctrlPr>
            </m:dPr>
            <m:e>
              <m:r>
                <w:rPr>
                  <w:rFonts w:ascii="Cambria Math" w:hAnsi="Cambria Math"/>
                </w:rPr>
                <m:t>t</m:t>
              </m:r>
            </m:e>
          </m:d>
          <m:r>
            <w:rPr>
              <w:rFonts w:ascii="Cambria Math" w:hAnsi="Cambria Math"/>
            </w:rPr>
            <m:t>)</m:t>
          </m:r>
        </m:oMath>
      </m:oMathPara>
    </w:p>
    <w:p w14:paraId="2D27A395" w14:textId="63E9F9A0" w:rsidR="009C3258" w:rsidRDefault="009C3258" w:rsidP="000F60A8">
      <w:pPr>
        <w:jc w:val="both"/>
      </w:pPr>
      <w:r>
        <w:t xml:space="preserve">Avec A l’amplitude du signal reçu, </w:t>
      </w:r>
      <m:oMath>
        <m:r>
          <w:rPr>
            <w:rFonts w:ascii="Cambria Math" w:hAnsi="Cambria Math"/>
          </w:rPr>
          <m:t>φ</m:t>
        </m:r>
      </m:oMath>
      <w:r>
        <w:t xml:space="preserve"> la phase du signal et </w:t>
      </w:r>
      <m:oMath>
        <m:r>
          <w:rPr>
            <w:rFonts w:ascii="Cambria Math" w:hAnsi="Cambria Math"/>
          </w:rPr>
          <m:t>m</m:t>
        </m:r>
        <m:d>
          <m:dPr>
            <m:ctrlPr>
              <w:rPr>
                <w:rFonts w:ascii="Cambria Math" w:hAnsi="Cambria Math"/>
                <w:i/>
              </w:rPr>
            </m:ctrlPr>
          </m:dPr>
          <m:e>
            <m:r>
              <w:rPr>
                <w:rFonts w:ascii="Cambria Math" w:hAnsi="Cambria Math"/>
              </w:rPr>
              <m:t>t</m:t>
            </m:r>
          </m:e>
        </m:d>
      </m:oMath>
      <w:r w:rsidR="00C84198">
        <w:t xml:space="preserve"> le signal modulé via la rotation de l’antenne.</w:t>
      </w:r>
    </w:p>
    <w:p w14:paraId="79535E23" w14:textId="48C0C8F2" w:rsidR="009C3258" w:rsidRDefault="009C3258" w:rsidP="000F60A8">
      <w:pPr>
        <w:jc w:val="both"/>
      </w:pPr>
      <m:oMathPara>
        <m:oMath>
          <m:r>
            <w:rPr>
              <w:rFonts w:ascii="Cambria Math" w:hAnsi="Cambria Math"/>
            </w:rPr>
            <m:t>m</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2πR</m:t>
              </m:r>
            </m:num>
            <m:den>
              <m:sSub>
                <m:sSubPr>
                  <m:ctrlPr>
                    <w:rPr>
                      <w:rFonts w:ascii="Cambria Math" w:hAnsi="Cambria Math"/>
                      <w:i/>
                    </w:rPr>
                  </m:ctrlPr>
                </m:sSubPr>
                <m:e>
                  <m:r>
                    <w:rPr>
                      <w:rFonts w:ascii="Cambria Math" w:hAnsi="Cambria Math"/>
                    </w:rPr>
                    <m:t>λ</m:t>
                  </m:r>
                </m:e>
                <m:sub>
                  <m:r>
                    <w:rPr>
                      <w:rFonts w:ascii="Cambria Math" w:hAnsi="Cambria Math"/>
                    </w:rPr>
                    <m:t>0</m:t>
                  </m:r>
                </m:sub>
              </m:sSub>
            </m:den>
          </m:f>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t-Φ)</m:t>
          </m:r>
        </m:oMath>
      </m:oMathPara>
    </w:p>
    <w:p w14:paraId="7095FD12" w14:textId="77777777" w:rsidR="00C52E48" w:rsidRDefault="00C84198" w:rsidP="000F60A8">
      <w:pPr>
        <w:jc w:val="both"/>
      </w:pPr>
      <w:r>
        <w:t xml:space="preserve">On remarque alors que l’angle d’azimut </w:t>
      </w:r>
      <m:oMath>
        <m:r>
          <w:rPr>
            <w:rFonts w:ascii="Cambria Math" w:hAnsi="Cambria Math"/>
          </w:rPr>
          <m:t>Φ</m:t>
        </m:r>
      </m:oMath>
      <w:r>
        <w:t xml:space="preserve"> agit comme un changement de phase, ce qui nous permet </w:t>
      </w:r>
      <w:r w:rsidR="00C075A6">
        <w:t>de déduire l’angle d’arrivé, après démodulation par rapport</w:t>
      </w:r>
      <w:r w:rsidR="00C52E48">
        <w:t xml:space="preserve"> au signal de référence</w:t>
      </w:r>
      <w:r w:rsidR="00C075A6">
        <w:t xml:space="preserve"> </w:t>
      </w:r>
      <m:oMath>
        <m:sSub>
          <m:sSubPr>
            <m:ctrlPr>
              <w:rPr>
                <w:rFonts w:ascii="Cambria Math" w:hAnsi="Cambria Math"/>
                <w:i/>
              </w:rPr>
            </m:ctrlPr>
          </m:sSubPr>
          <m:e>
            <m:r>
              <w:rPr>
                <w:rFonts w:ascii="Cambria Math" w:hAnsi="Cambria Math"/>
              </w:rPr>
              <m:t>x</m:t>
            </m:r>
          </m:e>
          <m:sub>
            <m:r>
              <w:rPr>
                <w:rFonts w:ascii="Cambria Math" w:hAnsi="Cambria Math"/>
              </w:rPr>
              <m:t>ref</m:t>
            </m:r>
          </m:sub>
        </m:sSub>
      </m:oMath>
      <w:r w:rsidR="00C52E48">
        <w:t xml:space="preserve">. </w:t>
      </w:r>
    </w:p>
    <w:p w14:paraId="173D45EC" w14:textId="3508C988" w:rsidR="00C52E48" w:rsidRDefault="00C52E48" w:rsidP="000F60A8">
      <w:pPr>
        <w:jc w:val="both"/>
      </w:pPr>
      <m:oMathPara>
        <m:oMath>
          <m:sSub>
            <m:sSubPr>
              <m:ctrlPr>
                <w:rPr>
                  <w:rFonts w:ascii="Cambria Math" w:hAnsi="Cambria Math"/>
                  <w:i/>
                </w:rPr>
              </m:ctrlPr>
            </m:sSubPr>
            <m:e>
              <m:r>
                <w:rPr>
                  <w:rFonts w:ascii="Cambria Math" w:hAnsi="Cambria Math"/>
                </w:rPr>
                <m:t>x</m:t>
              </m:r>
            </m:e>
            <m:sub>
              <m:r>
                <w:rPr>
                  <w:rFonts w:ascii="Cambria Math" w:hAnsi="Cambria Math"/>
                </w:rPr>
                <m:t>ref</m:t>
              </m:r>
            </m:sub>
          </m:sSub>
          <m:r>
            <w:rPr>
              <w:rFonts w:ascii="Cambria Math" w:hAnsi="Cambria Math"/>
            </w:rPr>
            <m:t>(t)=Acos(2π</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t+φ)</m:t>
          </m:r>
        </m:oMath>
      </m:oMathPara>
    </w:p>
    <w:p w14:paraId="348A2E16" w14:textId="451A9A3E" w:rsidR="009C3258" w:rsidRDefault="00C075A6" w:rsidP="000F60A8">
      <w:pPr>
        <w:jc w:val="both"/>
      </w:pPr>
      <w:r>
        <w:t xml:space="preserve">On remarque </w:t>
      </w:r>
      <w:r w:rsidR="00C52E48">
        <w:t>également</w:t>
      </w:r>
      <w:r>
        <w:t xml:space="preserve"> que cette équation ne marche que lorsque l’angle d’élévation </w:t>
      </w:r>
      <m:oMath>
        <m:r>
          <w:rPr>
            <w:rFonts w:ascii="Cambria Math" w:hAnsi="Cambria Math"/>
          </w:rPr>
          <m:t>θ</m:t>
        </m:r>
      </m:oMath>
      <w:r>
        <w:t xml:space="preserve"> est faible, indiquant que cette méthode se limite à une goniométrie 2D.</w:t>
      </w:r>
    </w:p>
    <w:p w14:paraId="4F40C2D2" w14:textId="142E4C99" w:rsidR="00A70CA8" w:rsidRDefault="00A667AB" w:rsidP="000F60A8">
      <w:pPr>
        <w:jc w:val="both"/>
      </w:pPr>
      <w:r>
        <w:t>Ce principe est illustré selon la figure ci-dessous, où</w:t>
      </w:r>
      <w:r w:rsidR="00A70CA8">
        <w:t xml:space="preserve"> </w:t>
      </w:r>
      <w:r w:rsidR="009C3258">
        <w:t xml:space="preserve">l’on </w:t>
      </w:r>
      <w:r w:rsidR="00A70CA8">
        <w:t>trace en fonction de l’angle le shift de fréquence obtenu : dans l’exemple les positions A et C il n’y pas de shift de fréquence, signifiant q</w:t>
      </w:r>
      <w:r w:rsidR="00180F84">
        <w:t xml:space="preserve">ue le récepteur </w:t>
      </w:r>
      <w:r w:rsidR="00A70CA8">
        <w:t xml:space="preserve">est stationnaire vis-à-vis de la source. </w:t>
      </w:r>
      <w:r w:rsidR="0061358D">
        <w:t>A la position D</w:t>
      </w:r>
      <w:r w:rsidR="009363F4">
        <w:t xml:space="preserve">, on a la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m:t>
        </m:r>
      </m:oMath>
      <w:r w:rsidR="009363F4">
        <w:t xml:space="preserve"> </w:t>
      </w:r>
      <w:r w:rsidR="00A70CA8">
        <w:t xml:space="preserve">maximale résultant à un </w:t>
      </w:r>
      <w:r w:rsidR="0061358D">
        <w:t>maximum</w:t>
      </w:r>
      <w:r w:rsidR="00A70CA8">
        <w:t xml:space="preserve"> de shift de Doppler : le ré</w:t>
      </w:r>
      <w:r w:rsidR="0061358D">
        <w:t>cepteur s’approche</w:t>
      </w:r>
      <w:r w:rsidR="00A70CA8">
        <w:t xml:space="preserve"> de la source. </w:t>
      </w:r>
      <w:r w:rsidR="0061358D">
        <w:t xml:space="preserve">A l’inverse, on </w:t>
      </w:r>
      <w:r w:rsidR="00180F84">
        <w:t xml:space="preserve">a </w:t>
      </w:r>
      <w:r w:rsidR="0061358D">
        <w:t>également une</w:t>
      </w:r>
      <w:r w:rsidR="00A70CA8">
        <w:t xml:space="preserve"> v</w:t>
      </w:r>
      <w:r w:rsidR="00180F84">
        <w:t>itesse maximale à la position D</w:t>
      </w:r>
      <w:r w:rsidR="0061358D">
        <w:t xml:space="preserve"> résultant cette fois à un minimum de shift,</w:t>
      </w:r>
      <w:r w:rsidR="00A70CA8">
        <w:t xml:space="preserve"> indiquant un </w:t>
      </w:r>
      <w:r w:rsidR="0061358D">
        <w:t xml:space="preserve">éloignement par rapport à la </w:t>
      </w:r>
      <w:r w:rsidR="00A70CA8">
        <w:t>source. On détermine alors que la position la plus proche de la source est la position A.</w:t>
      </w:r>
    </w:p>
    <w:p w14:paraId="027EBF3F" w14:textId="77777777" w:rsidR="00A70CA8" w:rsidRDefault="00A70CA8" w:rsidP="000F60A8">
      <w:pPr>
        <w:keepNext/>
        <w:jc w:val="both"/>
      </w:pPr>
      <w:r>
        <w:rPr>
          <w:noProof/>
          <w:lang w:eastAsia="fr-FR"/>
        </w:rPr>
        <w:drawing>
          <wp:inline distT="0" distB="0" distL="0" distR="0" wp14:anchorId="3FAEA87C" wp14:editId="2A826DD2">
            <wp:extent cx="5760720" cy="18783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878330"/>
                    </a:xfrm>
                    <a:prstGeom prst="rect">
                      <a:avLst/>
                    </a:prstGeom>
                  </pic:spPr>
                </pic:pic>
              </a:graphicData>
            </a:graphic>
          </wp:inline>
        </w:drawing>
      </w:r>
    </w:p>
    <w:p w14:paraId="537B75E7" w14:textId="77777777" w:rsidR="00A70CA8" w:rsidRDefault="00A70CA8" w:rsidP="000F60A8">
      <w:pPr>
        <w:pStyle w:val="Lgende"/>
        <w:jc w:val="both"/>
      </w:pPr>
      <w:r>
        <w:t xml:space="preserve">Figure </w:t>
      </w:r>
      <w:r>
        <w:fldChar w:fldCharType="begin"/>
      </w:r>
      <w:r>
        <w:instrText xml:space="preserve"> SEQ Figure \* ARABIC </w:instrText>
      </w:r>
      <w:r>
        <w:fldChar w:fldCharType="separate"/>
      </w:r>
      <w:r w:rsidR="00F54830">
        <w:rPr>
          <w:noProof/>
        </w:rPr>
        <w:t>7</w:t>
      </w:r>
      <w:r>
        <w:fldChar w:fldCharType="end"/>
      </w:r>
      <w:r>
        <w:t xml:space="preserve"> : I</w:t>
      </w:r>
      <w:commentRangeStart w:id="7"/>
      <w:r>
        <w:t>llustration de l'effet Doppler appliqué à la goniométrie, Rhodes &amp; Schwarz</w:t>
      </w:r>
      <w:commentRangeEnd w:id="7"/>
      <w:r>
        <w:rPr>
          <w:rStyle w:val="Marquedecommentaire"/>
          <w:i w:val="0"/>
          <w:iCs w:val="0"/>
          <w:color w:val="auto"/>
        </w:rPr>
        <w:commentReference w:id="7"/>
      </w:r>
    </w:p>
    <w:p w14:paraId="42670A98" w14:textId="0C72132F" w:rsidR="00A70CA8" w:rsidRDefault="00A70CA8" w:rsidP="000F60A8">
      <w:pPr>
        <w:jc w:val="both"/>
      </w:pPr>
      <w:r>
        <w:lastRenderedPageBreak/>
        <w:t>Cependant, le fait de faire tourner physiquement une antenne sur un cercle est difficilement réalisable car instable mécaniquement et nécessite une vitesse de rotation très élevée</w:t>
      </w:r>
      <w:r w:rsidR="0097625A">
        <w:t xml:space="preserve"> pour pouvoir opérer en hautes fréquences</w:t>
      </w:r>
      <w:r>
        <w:t xml:space="preserve">. Pour pallier à cette limite, on utilise un réseau antennaire constitué de plusieurs éléments situés autour du </w:t>
      </w:r>
      <w:r w:rsidR="0097625A">
        <w:t>cercle</w:t>
      </w:r>
      <w:r>
        <w:t xml:space="preserve"> où l’on va envoyer périodiquement une impulsion sur chaque antenne, simulant ainsi une rotation de l’antenne sur un cercle de référence : on parle alors d’effet </w:t>
      </w:r>
      <w:r w:rsidRPr="00D5214B">
        <w:t>Pseudo-Doppler.</w:t>
      </w:r>
    </w:p>
    <w:p w14:paraId="46F51314" w14:textId="701715B2" w:rsidR="001D5331" w:rsidRDefault="00A70CA8" w:rsidP="00180F84">
      <w:pPr>
        <w:jc w:val="both"/>
      </w:pPr>
      <w:r>
        <w:t>Ces systèmes sont très utilisés dans les bandes VHF et UHF car ils présentent de bonnes caractéristiques à des fréquences inférieures à 1 GHz tout en étant bas coût, mais posent des difficultés pour capter les signaux à polarisation horizontale étant donné que les antennes sont généralement polarisées verticalement avec un diagramme omnidir</w:t>
      </w:r>
      <w:r w:rsidR="00180F84">
        <w:t xml:space="preserve">ectionnel (dipôles, monopôles). </w:t>
      </w:r>
      <w:r>
        <w:t xml:space="preserve">Ce type de goniomètre est utilisé en France par les vedettes d’assistance, de surveillance et de sauvetage avec un dispositif de 4 antennes pour recevoir les fréquences internationales de détresse et d’appel pour les navires (158.8 MHz) et </w:t>
      </w:r>
      <w:r w:rsidR="00180F84">
        <w:t>stations d’aéronef (121.5 MHz).</w:t>
      </w:r>
    </w:p>
    <w:p w14:paraId="0757BB82" w14:textId="77777777" w:rsidR="00180F84" w:rsidRDefault="00180F84" w:rsidP="00180F84">
      <w:pPr>
        <w:keepNext/>
        <w:jc w:val="center"/>
      </w:pPr>
      <w:r>
        <w:rPr>
          <w:noProof/>
          <w:lang w:eastAsia="fr-FR"/>
        </w:rPr>
        <w:drawing>
          <wp:inline distT="0" distB="0" distL="0" distR="0" wp14:anchorId="1D137BA8" wp14:editId="2D9E2B31">
            <wp:extent cx="1342656" cy="2724150"/>
            <wp:effectExtent l="0" t="0" r="0" b="0"/>
            <wp:docPr id="45" name="Image 45" descr="https://upload.wikimedia.org/wikipedia/commons/5/5f/RDF_receivers_antenna_emergency_location_beacon_aircraf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5/5f/RDF_receivers_antenna_emergency_location_beacon_aircraft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9699" cy="2738441"/>
                    </a:xfrm>
                    <a:prstGeom prst="rect">
                      <a:avLst/>
                    </a:prstGeom>
                    <a:noFill/>
                    <a:ln>
                      <a:noFill/>
                    </a:ln>
                  </pic:spPr>
                </pic:pic>
              </a:graphicData>
            </a:graphic>
          </wp:inline>
        </w:drawing>
      </w:r>
    </w:p>
    <w:p w14:paraId="52BA2446" w14:textId="10F16FBB" w:rsidR="001D5331" w:rsidRDefault="00180F84" w:rsidP="00180F84">
      <w:pPr>
        <w:pStyle w:val="Lgende"/>
        <w:jc w:val="center"/>
      </w:pPr>
      <w:r>
        <w:t xml:space="preserve">Figure </w:t>
      </w:r>
      <w:r>
        <w:fldChar w:fldCharType="begin"/>
      </w:r>
      <w:r>
        <w:instrText xml:space="preserve"> SEQ Figure \* ARABIC </w:instrText>
      </w:r>
      <w:r>
        <w:fldChar w:fldCharType="separate"/>
      </w:r>
      <w:r w:rsidR="00F54830">
        <w:rPr>
          <w:noProof/>
        </w:rPr>
        <w:t>8</w:t>
      </w:r>
      <w:r>
        <w:fldChar w:fldCharType="end"/>
      </w:r>
      <w:r>
        <w:t xml:space="preserve"> : </w:t>
      </w:r>
      <w:r w:rsidRPr="006A09D2">
        <w:t>Antennes de radiocommunication et le groupe de 4 antennes radiogoniométriques à repérage d'urgence, wikipedia</w:t>
      </w:r>
    </w:p>
    <w:p w14:paraId="0D2F32A0" w14:textId="77777777" w:rsidR="00A70CA8" w:rsidRDefault="00A70CA8" w:rsidP="00180F84">
      <w:pPr>
        <w:keepNext/>
        <w:jc w:val="center"/>
      </w:pPr>
      <w:r>
        <w:rPr>
          <w:noProof/>
          <w:lang w:eastAsia="fr-FR"/>
        </w:rPr>
        <w:drawing>
          <wp:inline distT="0" distB="0" distL="0" distR="0" wp14:anchorId="29A1FD80" wp14:editId="4686E760">
            <wp:extent cx="3305175" cy="2140101"/>
            <wp:effectExtent l="0" t="0" r="0" b="0"/>
            <wp:docPr id="10" name="Image 10" descr="Lojack systems MASSIVE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jack systems MASSIVE discou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7076" cy="2141332"/>
                    </a:xfrm>
                    <a:prstGeom prst="rect">
                      <a:avLst/>
                    </a:prstGeom>
                    <a:noFill/>
                    <a:ln>
                      <a:noFill/>
                    </a:ln>
                  </pic:spPr>
                </pic:pic>
              </a:graphicData>
            </a:graphic>
          </wp:inline>
        </w:drawing>
      </w:r>
    </w:p>
    <w:p w14:paraId="0975EFE6" w14:textId="30041DBC" w:rsidR="00A70CA8" w:rsidRPr="00A70CA8" w:rsidRDefault="00A70CA8" w:rsidP="00180F84">
      <w:pPr>
        <w:pStyle w:val="Lgende"/>
        <w:jc w:val="center"/>
      </w:pPr>
      <w:r>
        <w:t xml:space="preserve">Figure </w:t>
      </w:r>
      <w:r>
        <w:fldChar w:fldCharType="begin"/>
      </w:r>
      <w:r>
        <w:instrText xml:space="preserve"> SEQ Figure \* ARABIC </w:instrText>
      </w:r>
      <w:r>
        <w:fldChar w:fldCharType="separate"/>
      </w:r>
      <w:r w:rsidR="00F54830">
        <w:rPr>
          <w:noProof/>
        </w:rPr>
        <w:t>9</w:t>
      </w:r>
      <w:r>
        <w:fldChar w:fldCharType="end"/>
      </w:r>
      <w:r>
        <w:t xml:space="preserve"> : Antennes radiogoniométrique Doppler, utilisées par les véhicules de pat</w:t>
      </w:r>
      <w:r w:rsidR="001D5331">
        <w:t>rouille pour application Lojack</w:t>
      </w:r>
    </w:p>
    <w:p w14:paraId="28F5718A" w14:textId="1954216A" w:rsidR="001D5331" w:rsidRDefault="00AB1272" w:rsidP="000F60A8">
      <w:pPr>
        <w:pStyle w:val="Titre3"/>
        <w:jc w:val="both"/>
      </w:pPr>
      <w:bookmarkStart w:id="8" w:name="_Toc104886655"/>
      <w:r>
        <w:lastRenderedPageBreak/>
        <w:t>Comparaison temporelle</w:t>
      </w:r>
      <w:bookmarkEnd w:id="8"/>
    </w:p>
    <w:p w14:paraId="4DA7505C" w14:textId="5BFFC866" w:rsidR="00BB27BF" w:rsidRDefault="00BB27BF" w:rsidP="000F60A8">
      <w:pPr>
        <w:keepNext/>
        <w:jc w:val="both"/>
      </w:pPr>
      <w:r>
        <w:t xml:space="preserve">La technique de comparaison </w:t>
      </w:r>
      <w:r w:rsidR="00307128">
        <w:t xml:space="preserve">temporelle </w:t>
      </w:r>
      <w:r>
        <w:t xml:space="preserve">exploite, comme son nom l’indique, la différence de temps de propagation d’un même signal entre </w:t>
      </w:r>
      <w:r w:rsidR="00321FDE">
        <w:t>deux</w:t>
      </w:r>
      <w:r>
        <w:t xml:space="preserve"> récepteurs.</w:t>
      </w:r>
      <w:r w:rsidR="00321FDE">
        <w:t xml:space="preserve"> La distance entre </w:t>
      </w:r>
      <w:r w:rsidR="00A541E5">
        <w:t xml:space="preserve">ces récepteurs étant connue </w:t>
      </w:r>
      <w:r w:rsidR="00321FDE">
        <w:t>et la vitesse des ondes électromagnétiques constante, on peut alors estimer l’angle d’arrivé du signal grâce au délai temporel mesuré.</w:t>
      </w:r>
    </w:p>
    <w:p w14:paraId="7D315815" w14:textId="0981D21E" w:rsidR="00321FDE" w:rsidRDefault="00061D0A" w:rsidP="000F60A8">
      <w:pPr>
        <w:keepNext/>
        <w:jc w:val="both"/>
      </w:pPr>
      <w:r>
        <w:t>Pour mesurer ce délai temporel, on peut utiliser une horloge implémentée sur chaque récepteur</w:t>
      </w:r>
      <w:r w:rsidR="00467289">
        <w:t xml:space="preserve"> mesurant précisément l’horaire d’arrivé du signal</w:t>
      </w:r>
      <w:r>
        <w:t xml:space="preserve">, mais cela nécessite d’avoir </w:t>
      </w:r>
      <w:r w:rsidR="00CD35C9">
        <w:t>une synchronisation très précise entre</w:t>
      </w:r>
      <w:r>
        <w:t xml:space="preserve"> </w:t>
      </w:r>
      <w:r w:rsidR="00467289">
        <w:t>chaque</w:t>
      </w:r>
      <w:r w:rsidR="00CD35C9">
        <w:t xml:space="preserve"> </w:t>
      </w:r>
      <w:r>
        <w:t>horloge</w:t>
      </w:r>
      <w:r w:rsidR="00F053D6">
        <w:t xml:space="preserve"> (via une horloge partagé comme par exemple un GPS)</w:t>
      </w:r>
      <w:r>
        <w:t xml:space="preserve">. </w:t>
      </w:r>
      <w:r w:rsidR="0048108C">
        <w:t xml:space="preserve">Une seconde méthode consiste à </w:t>
      </w:r>
      <w:r w:rsidR="00C53BB9">
        <w:t>permuter le signal reçu en domaine temporel. Le décalage temporel nécessaire pour aligner les signaux en phase est ensuite multiplié par la célérité de la lumière afin d’obtenir la distance entre chaque sonde.</w:t>
      </w:r>
      <w:r w:rsidR="00951E39">
        <w:t xml:space="preserve"> Cette seconde méthode présente de meilleures performances mais augmente le temps de calcul.</w:t>
      </w:r>
    </w:p>
    <w:p w14:paraId="0F186AFB" w14:textId="63F9F5CB" w:rsidR="00C53BB9" w:rsidRDefault="00B65D8B" w:rsidP="000F60A8">
      <w:pPr>
        <w:keepNext/>
        <w:jc w:val="both"/>
      </w:pPr>
      <w:r>
        <w:t xml:space="preserve">Le principe est représenté dans la figure ci-dessous. Lorsque la différence temporelle perçue par les deux récepteurs est nulle, on obtient une </w:t>
      </w:r>
      <w:r w:rsidR="00DA5F04">
        <w:t xml:space="preserve">courbe en </w:t>
      </w:r>
      <w:r>
        <w:t>forme de ligne indiquant que la source est équidistante du récepteur 1 et 2. Lorsque cette différence n’est pas nulle, on obtient une courbe de type hyperbolique, caractéristique de cette méthode, indiquant alors qu’un des deux récepteurs est plus proche de la source. Ainsi, en utilisant au moins trois récepteurs on peut trianguler la position de la cible</w:t>
      </w:r>
      <w:r w:rsidR="00573EAF">
        <w:t>.</w:t>
      </w:r>
    </w:p>
    <w:p w14:paraId="08DEB0FF" w14:textId="77777777" w:rsidR="00C53BB9" w:rsidRPr="00C53BB9" w:rsidRDefault="00C53BB9" w:rsidP="00B3553B">
      <w:pPr>
        <w:keepNext/>
        <w:jc w:val="center"/>
      </w:pPr>
      <w:r w:rsidRPr="00C53BB9">
        <w:rPr>
          <w:noProof/>
          <w:lang w:eastAsia="fr-FR"/>
        </w:rPr>
        <w:drawing>
          <wp:inline distT="0" distB="0" distL="0" distR="0" wp14:anchorId="37B017C1" wp14:editId="798C1BEE">
            <wp:extent cx="3933825" cy="1746633"/>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1043" cy="1754278"/>
                    </a:xfrm>
                    <a:prstGeom prst="rect">
                      <a:avLst/>
                    </a:prstGeom>
                  </pic:spPr>
                </pic:pic>
              </a:graphicData>
            </a:graphic>
          </wp:inline>
        </w:drawing>
      </w:r>
    </w:p>
    <w:p w14:paraId="5C560749" w14:textId="7EB7E078" w:rsidR="00EA3BCB" w:rsidRPr="00C53BB9" w:rsidRDefault="00C53BB9" w:rsidP="00B3553B">
      <w:pPr>
        <w:pStyle w:val="Lgende"/>
        <w:jc w:val="center"/>
        <w:rPr>
          <w:i w:val="0"/>
        </w:rPr>
      </w:pPr>
      <w:r w:rsidRPr="00C53BB9">
        <w:rPr>
          <w:i w:val="0"/>
        </w:rPr>
        <w:t xml:space="preserve">Figure </w:t>
      </w:r>
      <w:r w:rsidRPr="00C53BB9">
        <w:rPr>
          <w:i w:val="0"/>
        </w:rPr>
        <w:fldChar w:fldCharType="begin"/>
      </w:r>
      <w:r w:rsidRPr="00C53BB9">
        <w:rPr>
          <w:i w:val="0"/>
        </w:rPr>
        <w:instrText xml:space="preserve"> SEQ Figure \* ARABIC </w:instrText>
      </w:r>
      <w:r w:rsidRPr="00C53BB9">
        <w:rPr>
          <w:i w:val="0"/>
        </w:rPr>
        <w:fldChar w:fldCharType="separate"/>
      </w:r>
      <w:r w:rsidR="00F54830">
        <w:rPr>
          <w:i w:val="0"/>
          <w:noProof/>
        </w:rPr>
        <w:t>10</w:t>
      </w:r>
      <w:r w:rsidRPr="00C53BB9">
        <w:rPr>
          <w:i w:val="0"/>
        </w:rPr>
        <w:fldChar w:fldCharType="end"/>
      </w:r>
      <w:r w:rsidRPr="00C53BB9">
        <w:rPr>
          <w:i w:val="0"/>
        </w:rPr>
        <w:t xml:space="preserve"> : Radiogoniométrie via comparaison temporelle, </w:t>
      </w:r>
      <w:r w:rsidR="00307128">
        <w:rPr>
          <w:i w:val="0"/>
        </w:rPr>
        <w:t xml:space="preserve">à gauche différence temporelle nulle, à droite différence temporelle non nulle, </w:t>
      </w:r>
      <w:r w:rsidRPr="00C53BB9">
        <w:rPr>
          <w:i w:val="0"/>
        </w:rPr>
        <w:t>R&amp;S</w:t>
      </w:r>
    </w:p>
    <w:p w14:paraId="1A656675" w14:textId="77777777" w:rsidR="00BB27BF" w:rsidRDefault="00BB27BF" w:rsidP="00B3553B">
      <w:pPr>
        <w:keepNext/>
        <w:jc w:val="center"/>
      </w:pPr>
      <w:r>
        <w:rPr>
          <w:noProof/>
          <w:lang w:eastAsia="fr-FR"/>
        </w:rPr>
        <w:drawing>
          <wp:inline distT="0" distB="0" distL="0" distR="0" wp14:anchorId="2013C301" wp14:editId="4A364890">
            <wp:extent cx="2200275" cy="202455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3356" cy="2027394"/>
                    </a:xfrm>
                    <a:prstGeom prst="rect">
                      <a:avLst/>
                    </a:prstGeom>
                  </pic:spPr>
                </pic:pic>
              </a:graphicData>
            </a:graphic>
          </wp:inline>
        </w:drawing>
      </w:r>
    </w:p>
    <w:p w14:paraId="6B880B65" w14:textId="5F2557DB" w:rsidR="00BB27BF" w:rsidRDefault="00BB27BF" w:rsidP="00B3553B">
      <w:pPr>
        <w:pStyle w:val="Lgende"/>
        <w:jc w:val="center"/>
      </w:pPr>
      <w:r>
        <w:t xml:space="preserve">Figure </w:t>
      </w:r>
      <w:r>
        <w:fldChar w:fldCharType="begin"/>
      </w:r>
      <w:r>
        <w:instrText xml:space="preserve"> SEQ Figure \* ARABIC </w:instrText>
      </w:r>
      <w:r>
        <w:fldChar w:fldCharType="separate"/>
      </w:r>
      <w:r w:rsidR="00F54830">
        <w:rPr>
          <w:noProof/>
        </w:rPr>
        <w:t>11</w:t>
      </w:r>
      <w:r>
        <w:fldChar w:fldCharType="end"/>
      </w:r>
      <w:r>
        <w:t xml:space="preserve"> : Localisation d'une source via 3 récepteurs à comparaison temporelle, R&amp;S</w:t>
      </w:r>
    </w:p>
    <w:p w14:paraId="045C7A6F" w14:textId="77777777" w:rsidR="00573EAF" w:rsidRPr="00573EAF" w:rsidRDefault="00573EAF" w:rsidP="000F60A8">
      <w:pPr>
        <w:jc w:val="both"/>
      </w:pPr>
      <w:r>
        <w:t>Cette méthode présente de bons résultats avec la réception de signaux large bande plutôt que bande étroite, sur une distance d’une centaine de mètres.</w:t>
      </w:r>
      <w:r w:rsidR="00432A99">
        <w:t xml:space="preserve"> Contrairement à la triangulation par comparaison </w:t>
      </w:r>
      <w:r w:rsidR="00432A99">
        <w:lastRenderedPageBreak/>
        <w:t>d’angle d’arrivés, cette méthode ne permet pas d’avoir des résultats précis si la cible se situe en dehors de la zone délimitée par les récepteurs.</w:t>
      </w:r>
    </w:p>
    <w:p w14:paraId="65383032" w14:textId="77777777" w:rsidR="001D5331" w:rsidRDefault="001D5331" w:rsidP="000F60A8">
      <w:pPr>
        <w:pStyle w:val="Titre3"/>
        <w:jc w:val="both"/>
      </w:pPr>
      <w:bookmarkStart w:id="9" w:name="_Toc104886656"/>
      <w:r>
        <w:t>Interférométrie corrélative</w:t>
      </w:r>
      <w:bookmarkEnd w:id="9"/>
    </w:p>
    <w:p w14:paraId="379DDFFB" w14:textId="3960088F" w:rsidR="001D5331" w:rsidRDefault="001D5331" w:rsidP="000F60A8">
      <w:pPr>
        <w:jc w:val="both"/>
      </w:pPr>
      <w:r>
        <w:t xml:space="preserve">L’interférométrie permet de déterminer l’angle d’arrivé du signal via les différences de phase entre les éléments du réseau radiogoniométrique. Pour </w:t>
      </w:r>
      <w:r w:rsidR="00992E9C">
        <w:t>les signaux bande étroite</w:t>
      </w:r>
      <w:r>
        <w:t xml:space="preserve">, on calcul les délais de phase de l’onde incidente entre deux ou plus antennes espacées d’une certaine distance. Ce calcul de phase dépend donc de la géométrie du réseau qui peut être linéaire, polygonal ou circulaire. </w:t>
      </w:r>
    </w:p>
    <w:p w14:paraId="3EA676A7" w14:textId="39511D32" w:rsidR="001D5331" w:rsidRDefault="001D5331" w:rsidP="000F60A8">
      <w:pPr>
        <w:jc w:val="both"/>
      </w:pPr>
      <w:r>
        <w:t xml:space="preserve">En prenant le cas d’un réseau de deux éléments séparés d’une distance </w:t>
      </w:r>
      <w:r w:rsidRPr="00B87D24">
        <w:rPr>
          <w:i/>
        </w:rPr>
        <w:t>d</w:t>
      </w:r>
      <w:r>
        <w:t xml:space="preserve"> sur le même axe, on peut mesurer l’écart de phase entre les fronts d’onde perçus </w:t>
      </w:r>
      <w:r w:rsidR="00930681">
        <w:t>par plusieurs antennes pour retrouver l’angle d’incidence via l’équation</w:t>
      </w:r>
    </w:p>
    <w:p w14:paraId="1322AFAD" w14:textId="18C367A3" w:rsidR="001D5331" w:rsidRPr="00B87D24" w:rsidRDefault="00930681" w:rsidP="000F60A8">
      <w:pPr>
        <w:jc w:val="both"/>
        <w:rPr>
          <w:rFonts w:eastAsiaTheme="minorEastAsia"/>
        </w:rPr>
      </w:pPr>
      <m:oMathPara>
        <m:oMath>
          <m:r>
            <w:rPr>
              <w:rFonts w:ascii="Cambria Math" w:hAnsi="Cambria Math"/>
            </w:rPr>
            <m:t>θ=</m:t>
          </m:r>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r>
                    <w:rPr>
                      <w:rFonts w:ascii="Cambria Math" w:hAnsi="Cambria Math"/>
                    </w:rPr>
                    <m:t>δφ*</m:t>
                  </m:r>
                  <m:f>
                    <m:fPr>
                      <m:ctrlPr>
                        <w:rPr>
                          <w:rFonts w:ascii="Cambria Math" w:hAnsi="Cambria Math"/>
                          <w:i/>
                        </w:rPr>
                      </m:ctrlPr>
                    </m:fPr>
                    <m:num>
                      <m:r>
                        <w:rPr>
                          <w:rFonts w:ascii="Cambria Math" w:hAnsi="Cambria Math"/>
                        </w:rPr>
                        <m:t>λ</m:t>
                      </m:r>
                    </m:num>
                    <m:den>
                      <m:r>
                        <w:rPr>
                          <w:rFonts w:ascii="Cambria Math" w:hAnsi="Cambria Math"/>
                        </w:rPr>
                        <m:t>2π*d</m:t>
                      </m:r>
                    </m:den>
                  </m:f>
                </m:e>
              </m:d>
            </m:e>
          </m:func>
        </m:oMath>
      </m:oMathPara>
    </w:p>
    <w:p w14:paraId="34BA2C82" w14:textId="38C27B8C" w:rsidR="001D5331" w:rsidRDefault="001D5331" w:rsidP="000F60A8">
      <w:pPr>
        <w:jc w:val="both"/>
        <w:rPr>
          <w:rFonts w:eastAsiaTheme="minorEastAsia"/>
        </w:rPr>
      </w:pPr>
      <w:r>
        <w:rPr>
          <w:rFonts w:eastAsiaTheme="minorEastAsia"/>
        </w:rPr>
        <w:t xml:space="preserve">Avec </w:t>
      </w:r>
      <m:oMath>
        <m:r>
          <w:rPr>
            <w:rFonts w:ascii="Cambria Math" w:hAnsi="Cambria Math"/>
          </w:rPr>
          <m:t>λ</m:t>
        </m:r>
      </m:oMath>
      <w:r>
        <w:rPr>
          <w:rFonts w:eastAsiaTheme="minorEastAsia"/>
        </w:rPr>
        <w:t xml:space="preserve"> la longueur d’onde de l’onde incidente ;</w:t>
      </w:r>
      <m:oMath>
        <m:r>
          <w:rPr>
            <w:rFonts w:ascii="Cambria Math" w:hAnsi="Cambria Math"/>
          </w:rPr>
          <m:t xml:space="preserve"> θ</m:t>
        </m:r>
      </m:oMath>
      <w:r>
        <w:rPr>
          <w:rFonts w:eastAsiaTheme="minorEastAsia"/>
        </w:rPr>
        <w:t xml:space="preserve"> </w:t>
      </w:r>
      <w:r w:rsidR="00930681">
        <w:rPr>
          <w:rFonts w:eastAsiaTheme="minorEastAsia"/>
        </w:rPr>
        <w:t>l’angle</w:t>
      </w:r>
      <w:r>
        <w:rPr>
          <w:rFonts w:eastAsiaTheme="minorEastAsia"/>
        </w:rPr>
        <w:t xml:space="preserve"> d’incidence </w:t>
      </w:r>
      <w:r w:rsidR="00930681">
        <w:rPr>
          <w:rFonts w:eastAsiaTheme="minorEastAsia"/>
        </w:rPr>
        <w:t xml:space="preserve">en azimut </w:t>
      </w:r>
      <w:r>
        <w:rPr>
          <w:rFonts w:eastAsiaTheme="minorEastAsia"/>
        </w:rPr>
        <w:t>d</w:t>
      </w:r>
      <w:r w:rsidR="00103F2F">
        <w:rPr>
          <w:rFonts w:eastAsiaTheme="minorEastAsia"/>
        </w:rPr>
        <w:t xml:space="preserve">e l’onde et </w:t>
      </w:r>
      <m:oMath>
        <m:r>
          <w:rPr>
            <w:rFonts w:ascii="Cambria Math" w:hAnsi="Cambria Math"/>
          </w:rPr>
          <m:t>δφ</m:t>
        </m:r>
      </m:oMath>
      <w:r w:rsidR="00103F2F">
        <w:rPr>
          <w:rFonts w:eastAsiaTheme="minorEastAsia"/>
        </w:rPr>
        <w:t xml:space="preserve"> le déphasage entre les différents fronts d’onde.</w:t>
      </w:r>
    </w:p>
    <w:p w14:paraId="654A3497" w14:textId="77777777" w:rsidR="001D5331" w:rsidRDefault="001D5331" w:rsidP="000F60A8">
      <w:pPr>
        <w:keepNext/>
        <w:jc w:val="both"/>
      </w:pPr>
      <w:r>
        <w:rPr>
          <w:noProof/>
          <w:lang w:eastAsia="fr-FR"/>
        </w:rPr>
        <w:drawing>
          <wp:inline distT="0" distB="0" distL="0" distR="0" wp14:anchorId="6C46D86A" wp14:editId="74E93B63">
            <wp:extent cx="2914650" cy="17811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4650" cy="1781175"/>
                    </a:xfrm>
                    <a:prstGeom prst="rect">
                      <a:avLst/>
                    </a:prstGeom>
                  </pic:spPr>
                </pic:pic>
              </a:graphicData>
            </a:graphic>
          </wp:inline>
        </w:drawing>
      </w:r>
    </w:p>
    <w:p w14:paraId="6AD07BFD" w14:textId="6E6E9F79" w:rsidR="001D5331" w:rsidRDefault="001D5331" w:rsidP="000F60A8">
      <w:pPr>
        <w:pStyle w:val="Lgende"/>
        <w:jc w:val="both"/>
      </w:pPr>
      <w:r>
        <w:t xml:space="preserve">Figure </w:t>
      </w:r>
      <w:r>
        <w:fldChar w:fldCharType="begin"/>
      </w:r>
      <w:r>
        <w:instrText xml:space="preserve"> SEQ Figure \* ARABIC </w:instrText>
      </w:r>
      <w:r>
        <w:fldChar w:fldCharType="separate"/>
      </w:r>
      <w:r w:rsidR="00F54830">
        <w:rPr>
          <w:noProof/>
        </w:rPr>
        <w:t>12</w:t>
      </w:r>
      <w:r>
        <w:fldChar w:fldCharType="end"/>
      </w:r>
      <w:r>
        <w:t xml:space="preserve"> : Principe de l'interférométrie avec deux éléments, </w:t>
      </w:r>
      <w:r w:rsidR="00B3553B">
        <w:t>[</w:t>
      </w:r>
      <w:commentRangeStart w:id="10"/>
      <w:r w:rsidR="00B3553B">
        <w:t>Ref</w:t>
      </w:r>
      <w:commentRangeEnd w:id="10"/>
      <w:r w:rsidR="00B3553B">
        <w:rPr>
          <w:rStyle w:val="Marquedecommentaire"/>
          <w:i w:val="0"/>
          <w:iCs w:val="0"/>
          <w:color w:val="auto"/>
        </w:rPr>
        <w:commentReference w:id="10"/>
      </w:r>
      <w:r w:rsidR="00B3553B">
        <w:t>]</w:t>
      </w:r>
    </w:p>
    <w:p w14:paraId="17B20BF5" w14:textId="77777777" w:rsidR="001D5331" w:rsidRDefault="001D5331" w:rsidP="000F60A8">
      <w:pPr>
        <w:jc w:val="both"/>
      </w:pPr>
      <w:r>
        <w:t>Lorsque le réseau est défini, on va mesurer les écarts de phase via un signal dont on connait l’angle d’arrivé nous permettant alors de définir une matrice, appelée table de calibration, comprenant les réponses en phase de chaque antennes pour les différents angles d’arrivés. Ainsi, lorsqu’un signal arrive sur le système avec un angle inconnu, on va noter les différences de phase entre les éléments, puis les comparer à la table de calibration, permettant alors d’obtenir une estimation de l’angle d’arrivé le plus probable.</w:t>
      </w:r>
    </w:p>
    <w:p w14:paraId="19C26EAB" w14:textId="3B8FCE48" w:rsidR="00AE1957" w:rsidRDefault="00C130BF" w:rsidP="000F60A8">
      <w:pPr>
        <w:jc w:val="both"/>
      </w:pPr>
      <w:r>
        <w:t xml:space="preserve">La performance des interféromètres, i.e. leur précision angulaire, peut être améliorée en augmentant la distance entre les éléments </w:t>
      </w:r>
      <w:r w:rsidR="00AE1957">
        <w:t>rayonnants</w:t>
      </w:r>
      <w:r>
        <w:t>. Il est toutefois nécessaire</w:t>
      </w:r>
      <w:r w:rsidR="00534346">
        <w:t>, afin de lever les ambiguïtés,</w:t>
      </w:r>
      <w:r>
        <w:t xml:space="preserve"> de travailler avec un système d’au</w:t>
      </w:r>
      <w:r w:rsidR="00016E55">
        <w:t xml:space="preserve"> minimum trois éléments </w:t>
      </w:r>
      <w:r>
        <w:t xml:space="preserve">espacés </w:t>
      </w:r>
      <w:r w:rsidR="00AE1957">
        <w:t xml:space="preserve">d’une distance inter-éléments </w:t>
      </w:r>
      <w:r w:rsidR="00AE1957" w:rsidRPr="00AE1957">
        <w:rPr>
          <w:i/>
        </w:rPr>
        <w:t>d</w:t>
      </w:r>
      <w:r w:rsidR="00AE1957">
        <w:t xml:space="preserve"> qui soit inférieure à </w:t>
      </w:r>
      <m:oMath>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rsidR="00AE1957">
        <w:t xml:space="preserve">, i.e. </w:t>
      </w:r>
    </w:p>
    <w:p w14:paraId="4DE08FA8" w14:textId="24C7214E" w:rsidR="00AE1957" w:rsidRPr="00AE1957" w:rsidRDefault="00AE1957" w:rsidP="000F60A8">
      <w:pPr>
        <w:jc w:val="both"/>
      </w:pPr>
      <m:oMathPara>
        <m:oMath>
          <m:r>
            <w:rPr>
              <w:rFonts w:ascii="Cambria Math" w:hAnsi="Cambria Math"/>
            </w:rPr>
            <m:t>d ≤</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min</m:t>
                  </m:r>
                </m:sub>
              </m:sSub>
            </m:num>
            <m:den>
              <m:r>
                <w:rPr>
                  <w:rFonts w:ascii="Cambria Math" w:hAnsi="Cambria Math"/>
                </w:rPr>
                <m:t>2</m:t>
              </m:r>
            </m:den>
          </m:f>
        </m:oMath>
      </m:oMathPara>
    </w:p>
    <w:p w14:paraId="7E66D225" w14:textId="217CF3C2" w:rsidR="00C130BF" w:rsidRDefault="00AE1957" w:rsidP="000F60A8">
      <w:pPr>
        <w:jc w:val="both"/>
      </w:pPr>
      <w:r>
        <w:t xml:space="preserve">Où </w:t>
      </w:r>
      <m:oMath>
        <m:sSub>
          <m:sSubPr>
            <m:ctrlPr>
              <w:rPr>
                <w:rFonts w:ascii="Cambria Math" w:hAnsi="Cambria Math"/>
                <w:i/>
              </w:rPr>
            </m:ctrlPr>
          </m:sSubPr>
          <m:e>
            <m:r>
              <w:rPr>
                <w:rFonts w:ascii="Cambria Math" w:hAnsi="Cambria Math"/>
              </w:rPr>
              <m:t>λ</m:t>
            </m:r>
          </m:e>
          <m:sub>
            <m:r>
              <w:rPr>
                <w:rFonts w:ascii="Cambria Math" w:hAnsi="Cambria Math"/>
              </w:rPr>
              <m:t>min</m:t>
            </m:r>
          </m:sub>
        </m:sSub>
      </m:oMath>
      <w:r>
        <w:t xml:space="preserve"> est la longueur d’onde de la fréquence d’utilisation la plus élevée.</w:t>
      </w:r>
      <w:r w:rsidR="00435C6C">
        <w:t xml:space="preserve"> Cette contrainte est parfois appelée condition de Shannon spatiale.</w:t>
      </w:r>
      <w:r>
        <w:t xml:space="preserve"> </w:t>
      </w:r>
      <w:r w:rsidR="002229E5">
        <w:t>I</w:t>
      </w:r>
      <w:r w:rsidR="00C30E40">
        <w:t xml:space="preserve">l existe </w:t>
      </w:r>
      <w:r w:rsidR="00524D09">
        <w:t>cependant</w:t>
      </w:r>
      <w:r w:rsidR="002229E5">
        <w:t xml:space="preserve"> d’autres </w:t>
      </w:r>
      <w:r w:rsidR="00605E35">
        <w:t>techniques</w:t>
      </w:r>
      <w:r w:rsidR="002229E5">
        <w:t xml:space="preserve"> </w:t>
      </w:r>
      <w:r w:rsidR="00C30E40">
        <w:t xml:space="preserve">étudiées dans la littérature </w:t>
      </w:r>
      <w:r w:rsidR="002229E5">
        <w:t xml:space="preserve">afin de réduire ces ambiguïtés, </w:t>
      </w:r>
      <w:r w:rsidR="00C30E40">
        <w:t>comme par exemple en combinant des interféromètres et d’autres méthodes d’estimation d’angle d’arrivé</w:t>
      </w:r>
      <w:r w:rsidR="00016E55">
        <w:t xml:space="preserve"> [</w:t>
      </w:r>
      <w:commentRangeStart w:id="11"/>
      <w:r w:rsidR="00016E55">
        <w:t>Ref</w:t>
      </w:r>
      <w:commentRangeEnd w:id="11"/>
      <w:r w:rsidR="00016E55">
        <w:rPr>
          <w:rStyle w:val="Marquedecommentaire"/>
        </w:rPr>
        <w:commentReference w:id="11"/>
      </w:r>
      <w:r w:rsidR="00016E55">
        <w:t>]</w:t>
      </w:r>
      <w:r w:rsidR="00C30E40">
        <w:t>, ou bien en utilisant des espacements entre antennes non uniformes</w:t>
      </w:r>
      <w:r w:rsidR="00016E55">
        <w:t xml:space="preserve"> [</w:t>
      </w:r>
      <w:commentRangeStart w:id="12"/>
      <w:r w:rsidR="00016E55">
        <w:t>Ref]</w:t>
      </w:r>
      <w:commentRangeEnd w:id="12"/>
      <w:r w:rsidR="00016E55">
        <w:rPr>
          <w:rStyle w:val="Marquedecommentaire"/>
        </w:rPr>
        <w:commentReference w:id="12"/>
      </w:r>
      <w:r w:rsidR="00C30E40">
        <w:t>.</w:t>
      </w:r>
    </w:p>
    <w:p w14:paraId="2481843B" w14:textId="208770A5" w:rsidR="001D5331" w:rsidRPr="00361A4F" w:rsidRDefault="001D5331" w:rsidP="000F60A8">
      <w:pPr>
        <w:jc w:val="both"/>
      </w:pPr>
      <w:r>
        <w:lastRenderedPageBreak/>
        <w:t>Cette méthode permet d’obtenir de très bonnes précisions d’angle d’arrivée (&lt; 1°</w:t>
      </w:r>
      <w:r w:rsidR="00016E55">
        <w:t xml:space="preserve"> RMS</w:t>
      </w:r>
      <w:r w:rsidR="0046557C">
        <w:t xml:space="preserve"> po</w:t>
      </w:r>
      <w:r w:rsidR="00016E55">
        <w:t>ur des interféromètres modernes</w:t>
      </w:r>
      <w:r>
        <w:t>) et peut couvrir une large bande de fréquence si l’espacement entre antenne est correctement défini.</w:t>
      </w:r>
      <w:r w:rsidR="0046557C">
        <w:t xml:space="preserve"> Via un post traitement, il est également possible de déterminer l’angle d’arrivé de plusieurs signaux en même temps lorsqu’ils sont suffisamment espacés en fréquence.</w:t>
      </w:r>
      <w:r w:rsidR="00C30E40">
        <w:t xml:space="preserve"> Enfin, l’interférométrie fonctionne avec des signaux à bande étroite, mais il est possible de déterminer l’angle d’arrivé de signaux large bande en utilisant des traitements permettant de réduire la bande passante du signal</w:t>
      </w:r>
      <w:r w:rsidR="00016E55">
        <w:t xml:space="preserve"> [</w:t>
      </w:r>
      <w:commentRangeStart w:id="13"/>
      <w:r w:rsidR="00016E55">
        <w:t>Ref, Ref</w:t>
      </w:r>
      <w:commentRangeEnd w:id="13"/>
      <w:r w:rsidR="00016E55">
        <w:rPr>
          <w:rStyle w:val="Marquedecommentaire"/>
        </w:rPr>
        <w:commentReference w:id="13"/>
      </w:r>
      <w:r w:rsidR="00016E55">
        <w:t>]</w:t>
      </w:r>
      <w:r w:rsidR="00C30E40">
        <w:t>.</w:t>
      </w:r>
    </w:p>
    <w:p w14:paraId="2263C3CF" w14:textId="132C22A6" w:rsidR="009A548D" w:rsidRDefault="009A548D" w:rsidP="000F60A8">
      <w:pPr>
        <w:pStyle w:val="Titre3"/>
        <w:jc w:val="both"/>
      </w:pPr>
      <w:bookmarkStart w:id="14" w:name="_Toc104886657"/>
      <w:r>
        <w:t>Méthodes hybrides</w:t>
      </w:r>
      <w:bookmarkEnd w:id="14"/>
    </w:p>
    <w:p w14:paraId="3B57A0BB" w14:textId="40BC01D8" w:rsidR="00E14B13" w:rsidRDefault="00D82E96" w:rsidP="000F60A8">
      <w:pPr>
        <w:jc w:val="both"/>
      </w:pPr>
      <w:r>
        <w:t xml:space="preserve">Il est également possible d’associer plusieurs méthodes de radiogoniométrie </w:t>
      </w:r>
      <w:r w:rsidR="00DE124C">
        <w:t>pour palier à certains défauts. Par exemple on peut combiner des antennes utilisant une comparaison temporelle et une comparaison d’angle d’arrivé pour pouvoir utiliser une méthode ou l</w:t>
      </w:r>
      <w:r w:rsidR="00F50EBB">
        <w:t xml:space="preserve">’autre en fonction des besoins, e.g. </w:t>
      </w:r>
      <w:r w:rsidR="00DE124C">
        <w:t>comparaison temporelle pour signal large bande, comparaison d’angle d’arr</w:t>
      </w:r>
      <w:r w:rsidR="00F50EBB">
        <w:t>ivé pour signal à bande étroite</w:t>
      </w:r>
      <w:r w:rsidR="0094684B">
        <w:t>.</w:t>
      </w:r>
      <w:r w:rsidR="00E14B13">
        <w:t xml:space="preserve"> </w:t>
      </w:r>
    </w:p>
    <w:p w14:paraId="126BDBB1" w14:textId="74F3465E" w:rsidR="00DD0BF7" w:rsidRDefault="00E14B13" w:rsidP="000F60A8">
      <w:pPr>
        <w:jc w:val="both"/>
      </w:pPr>
      <w:r>
        <w:t xml:space="preserve">Un autre exemple est d’associer une comparaison </w:t>
      </w:r>
      <w:r w:rsidR="002957A0">
        <w:t>de phase (interférométrie)</w:t>
      </w:r>
      <w:r>
        <w:t xml:space="preserve"> à une comparaison d’amplitude</w:t>
      </w:r>
      <w:r w:rsidR="00F50EBB">
        <w:t xml:space="preserve"> [</w:t>
      </w:r>
      <w:commentRangeStart w:id="15"/>
      <w:r w:rsidR="00F50EBB">
        <w:t>Ref</w:t>
      </w:r>
      <w:commentRangeEnd w:id="15"/>
      <w:r w:rsidR="00F50EBB">
        <w:rPr>
          <w:rStyle w:val="Marquedecommentaire"/>
        </w:rPr>
        <w:commentReference w:id="15"/>
      </w:r>
      <w:r w:rsidR="00F50EBB">
        <w:t>]</w:t>
      </w:r>
      <w:r>
        <w:t xml:space="preserve">. En effet, la comparaison d’amplitude a pour défaut de ne pas être précise, notamment à des fréquences élevées, tandis que </w:t>
      </w:r>
      <w:r w:rsidR="002957A0">
        <w:t xml:space="preserve">l’interférométrie </w:t>
      </w:r>
      <w:r w:rsidR="0082478B">
        <w:t xml:space="preserve">provoque des ambiguïtés en haute fréquence. Cependant en combinant les deux techniques, il est possible de limiter les ambiguïtés </w:t>
      </w:r>
      <w:r w:rsidR="00437689">
        <w:t xml:space="preserve">en haute fréquence </w:t>
      </w:r>
      <w:r w:rsidR="0082478B">
        <w:t>tout en ayant une meilleure précision que la comparaison d’amplitude</w:t>
      </w:r>
      <w:r w:rsidR="001E0FDE">
        <w:t xml:space="preserve"> [</w:t>
      </w:r>
      <w:commentRangeStart w:id="16"/>
      <w:r w:rsidR="001E0FDE">
        <w:t>Ref</w:t>
      </w:r>
      <w:commentRangeEnd w:id="16"/>
      <w:r w:rsidR="001E0FDE">
        <w:rPr>
          <w:rStyle w:val="Marquedecommentaire"/>
        </w:rPr>
        <w:commentReference w:id="16"/>
      </w:r>
      <w:r w:rsidR="001E0FDE">
        <w:t>]</w:t>
      </w:r>
      <w:r w:rsidR="0082478B">
        <w:t>.</w:t>
      </w:r>
      <w:r w:rsidR="001E0FDE">
        <w:t xml:space="preserve"> </w:t>
      </w:r>
    </w:p>
    <w:p w14:paraId="5E8755EB" w14:textId="760B66B4" w:rsidR="001E0FDE" w:rsidRDefault="001E0FDE" w:rsidP="000F60A8">
      <w:pPr>
        <w:jc w:val="both"/>
      </w:pPr>
      <w:r>
        <w:t xml:space="preserve">Cependant la méthode </w:t>
      </w:r>
      <w:r w:rsidR="00DD0BF7">
        <w:t xml:space="preserve">de goniométrie </w:t>
      </w:r>
      <w:r>
        <w:t xml:space="preserve">via </w:t>
      </w:r>
      <w:r w:rsidR="00AD6A09">
        <w:t>comparaison d</w:t>
      </w:r>
      <w:r>
        <w:t xml:space="preserve">’amplitude est moins efficace en hautes fréquences pour lever les ambiguïtés. En effet, les éléments antennaires </w:t>
      </w:r>
      <w:r w:rsidR="002F20FC">
        <w:t>ultra large bande</w:t>
      </w:r>
      <w:r>
        <w:t xml:space="preserve"> ont souvent des dimensions électriquement larges en hautes fréquences, et excède notamment 4.5</w:t>
      </w:r>
      <w:r>
        <w:rPr>
          <w:rFonts w:cstheme="minorHAnsi"/>
        </w:rPr>
        <w:t>λ</w:t>
      </w:r>
      <w:r>
        <w:t xml:space="preserve"> pour des systèmes dans la bande [2-18 GHz]. En conséquence, la comparaison d’amplitude n’aura pas une précision suffisante pour résoudre les ambiguïtés.</w:t>
      </w:r>
      <w:r w:rsidR="00DD0BF7">
        <w:t xml:space="preserve"> </w:t>
      </w:r>
      <w:r>
        <w:t xml:space="preserve">Cette méthode présente également la contrainte physique </w:t>
      </w:r>
      <w:r w:rsidR="002F20FC">
        <w:t xml:space="preserve">d’avoir des antennes inclinées, </w:t>
      </w:r>
      <w:r>
        <w:t>pouvant être contraigna</w:t>
      </w:r>
      <w:r w:rsidR="002F20FC">
        <w:t>nt d’un point de vue mécanique</w:t>
      </w:r>
      <w:r>
        <w:t xml:space="preserve">. </w:t>
      </w:r>
    </w:p>
    <w:p w14:paraId="5E3F0078" w14:textId="77777777" w:rsidR="001E0FDE" w:rsidRDefault="001E0FDE" w:rsidP="000F60A8">
      <w:pPr>
        <w:jc w:val="both"/>
      </w:pPr>
    </w:p>
    <w:p w14:paraId="447B4590" w14:textId="77777777" w:rsidR="00F07DCB" w:rsidRDefault="00F07DCB" w:rsidP="00AD6A09">
      <w:pPr>
        <w:keepNext/>
        <w:jc w:val="center"/>
      </w:pPr>
      <w:r>
        <w:rPr>
          <w:noProof/>
          <w:lang w:eastAsia="fr-FR"/>
        </w:rPr>
        <w:drawing>
          <wp:inline distT="0" distB="0" distL="0" distR="0" wp14:anchorId="51507FED" wp14:editId="75C97D0A">
            <wp:extent cx="2568554" cy="3233908"/>
            <wp:effectExtent l="0" t="889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2576835" cy="3244334"/>
                    </a:xfrm>
                    <a:prstGeom prst="rect">
                      <a:avLst/>
                    </a:prstGeom>
                  </pic:spPr>
                </pic:pic>
              </a:graphicData>
            </a:graphic>
          </wp:inline>
        </w:drawing>
      </w:r>
    </w:p>
    <w:p w14:paraId="2E4553B0" w14:textId="7C5205D6" w:rsidR="00F07DCB" w:rsidRDefault="00F07DCB" w:rsidP="00AD6A09">
      <w:pPr>
        <w:pStyle w:val="Lgende"/>
        <w:jc w:val="center"/>
      </w:pPr>
      <w:r>
        <w:t xml:space="preserve">Figure </w:t>
      </w:r>
      <w:r>
        <w:fldChar w:fldCharType="begin"/>
      </w:r>
      <w:r>
        <w:instrText xml:space="preserve"> SEQ Figure \* ARABIC </w:instrText>
      </w:r>
      <w:r>
        <w:fldChar w:fldCharType="separate"/>
      </w:r>
      <w:r w:rsidR="00F54830">
        <w:rPr>
          <w:noProof/>
        </w:rPr>
        <w:t>13</w:t>
      </w:r>
      <w:r>
        <w:fldChar w:fldCharType="end"/>
      </w:r>
      <w:r>
        <w:t xml:space="preserve"> : Radiogoniométrie via </w:t>
      </w:r>
      <w:r w:rsidR="005C6778">
        <w:t xml:space="preserve">une </w:t>
      </w:r>
      <w:r>
        <w:t>méthode hybride à com</w:t>
      </w:r>
      <w:r w:rsidR="005C6778">
        <w:t>paraison d'amplitude et interférométrie</w:t>
      </w:r>
      <w:r w:rsidR="00AD6A09">
        <w:t>, [</w:t>
      </w:r>
      <w:commentRangeStart w:id="17"/>
      <w:r w:rsidR="00AD6A09">
        <w:t>ref</w:t>
      </w:r>
      <w:commentRangeEnd w:id="17"/>
      <w:r w:rsidR="00AD6A09">
        <w:rPr>
          <w:rStyle w:val="Marquedecommentaire"/>
          <w:i w:val="0"/>
          <w:iCs w:val="0"/>
          <w:color w:val="auto"/>
        </w:rPr>
        <w:commentReference w:id="17"/>
      </w:r>
      <w:r w:rsidR="00AD6A09">
        <w:t>]</w:t>
      </w:r>
    </w:p>
    <w:p w14:paraId="3AB616D8" w14:textId="0DB0833B" w:rsidR="004F00EB" w:rsidRPr="004F00EB" w:rsidRDefault="004F00EB" w:rsidP="000F60A8">
      <w:pPr>
        <w:pStyle w:val="Titre3"/>
        <w:jc w:val="both"/>
      </w:pPr>
      <w:bookmarkStart w:id="18" w:name="_Toc104886658"/>
      <w:r w:rsidRPr="004F00EB">
        <w:t>Méthodes à haute résolution</w:t>
      </w:r>
      <w:bookmarkEnd w:id="18"/>
      <w:r w:rsidRPr="004F00EB">
        <w:t xml:space="preserve"> </w:t>
      </w:r>
    </w:p>
    <w:p w14:paraId="775EBB50" w14:textId="0EBEECA5" w:rsidR="002C4EA7" w:rsidRDefault="004F00EB" w:rsidP="000F60A8">
      <w:pPr>
        <w:jc w:val="both"/>
      </w:pPr>
      <w:r>
        <w:t xml:space="preserve">Les méthodes à haute résolution sont des méthodes numériques permettant d’obtenir une </w:t>
      </w:r>
      <w:r w:rsidR="00255083">
        <w:t xml:space="preserve">meilleure </w:t>
      </w:r>
      <w:r>
        <w:t>précision d’estimation d’angle d’arrivé</w:t>
      </w:r>
      <w:r w:rsidR="00255083">
        <w:t xml:space="preserve"> que les méthodes citées précédemment</w:t>
      </w:r>
      <w:r>
        <w:t>.</w:t>
      </w:r>
      <w:r w:rsidR="0032472E">
        <w:t xml:space="preserve"> </w:t>
      </w:r>
      <w:r w:rsidR="00265612">
        <w:t xml:space="preserve">En effet, </w:t>
      </w:r>
      <w:r w:rsidR="0032472E">
        <w:t>leur</w:t>
      </w:r>
      <w:r w:rsidR="0032472E" w:rsidRPr="0BBE459D">
        <w:rPr>
          <w:rFonts w:ascii="Calibri" w:eastAsia="Calibri" w:hAnsi="Calibri" w:cs="Calibri"/>
          <w:color w:val="000000" w:themeColor="text1"/>
        </w:rPr>
        <w:t xml:space="preserve"> </w:t>
      </w:r>
      <w:r w:rsidR="0032472E" w:rsidRPr="0BBE459D">
        <w:rPr>
          <w:rFonts w:ascii="Calibri" w:eastAsia="Calibri" w:hAnsi="Calibri" w:cs="Calibri"/>
          <w:color w:val="000000" w:themeColor="text1"/>
        </w:rPr>
        <w:lastRenderedPageBreak/>
        <w:t xml:space="preserve">résolution spatiale n’est pas limitée par la taille du réseau comme </w:t>
      </w:r>
      <w:r w:rsidR="0032472E">
        <w:rPr>
          <w:rFonts w:ascii="Calibri" w:eastAsia="Calibri" w:hAnsi="Calibri" w:cs="Calibri"/>
          <w:color w:val="000000" w:themeColor="text1"/>
        </w:rPr>
        <w:t>dans des techniques classiques utilisant une transformée de Fourier rapide</w:t>
      </w:r>
      <w:r w:rsidR="0032472E" w:rsidRPr="0BBE459D">
        <w:rPr>
          <w:rFonts w:ascii="Calibri" w:eastAsia="Calibri" w:hAnsi="Calibri" w:cs="Calibri"/>
          <w:color w:val="000000" w:themeColor="text1"/>
        </w:rPr>
        <w:t>. La résolution peut alors être extrêmemen</w:t>
      </w:r>
      <w:r w:rsidR="00255083">
        <w:rPr>
          <w:rFonts w:ascii="Calibri" w:eastAsia="Calibri" w:hAnsi="Calibri" w:cs="Calibri"/>
          <w:color w:val="000000" w:themeColor="text1"/>
        </w:rPr>
        <w:t>t fine, ce qui permet de discriminer</w:t>
      </w:r>
      <w:r w:rsidR="0032472E" w:rsidRPr="0BBE459D">
        <w:rPr>
          <w:rFonts w:ascii="Calibri" w:eastAsia="Calibri" w:hAnsi="Calibri" w:cs="Calibri"/>
          <w:color w:val="000000" w:themeColor="text1"/>
        </w:rPr>
        <w:t xml:space="preserve"> des directions d’arrivée </w:t>
      </w:r>
      <w:r w:rsidR="0032472E">
        <w:rPr>
          <w:rFonts w:ascii="Calibri" w:eastAsia="Calibri" w:hAnsi="Calibri" w:cs="Calibri"/>
          <w:color w:val="000000" w:themeColor="text1"/>
        </w:rPr>
        <w:t xml:space="preserve">très proches </w:t>
      </w:r>
      <w:r w:rsidR="0032472E" w:rsidRPr="0BBE459D">
        <w:rPr>
          <w:rFonts w:ascii="Calibri" w:eastAsia="Calibri" w:hAnsi="Calibri" w:cs="Calibri"/>
          <w:color w:val="000000" w:themeColor="text1"/>
        </w:rPr>
        <w:t>c</w:t>
      </w:r>
      <w:r w:rsidR="0032472E">
        <w:rPr>
          <w:rFonts w:ascii="Calibri" w:eastAsia="Calibri" w:hAnsi="Calibri" w:cs="Calibri"/>
          <w:color w:val="000000" w:themeColor="text1"/>
        </w:rPr>
        <w:t>ontenues dans le lobe principal</w:t>
      </w:r>
      <w:r w:rsidR="00255083">
        <w:rPr>
          <w:rFonts w:ascii="Calibri" w:eastAsia="Calibri" w:hAnsi="Calibri" w:cs="Calibri"/>
          <w:color w:val="000000" w:themeColor="text1"/>
        </w:rPr>
        <w:t xml:space="preserve"> et rend ainsi possible l’estimation d’angle d’arrivé de pl</w:t>
      </w:r>
      <w:r w:rsidR="002C4EA7">
        <w:rPr>
          <w:rFonts w:ascii="Calibri" w:eastAsia="Calibri" w:hAnsi="Calibri" w:cs="Calibri"/>
          <w:color w:val="000000" w:themeColor="text1"/>
        </w:rPr>
        <w:t>usieurs ondes arrivant sur le s</w:t>
      </w:r>
      <w:r w:rsidR="00255083">
        <w:rPr>
          <w:rFonts w:ascii="Calibri" w:eastAsia="Calibri" w:hAnsi="Calibri" w:cs="Calibri"/>
          <w:color w:val="000000" w:themeColor="text1"/>
        </w:rPr>
        <w:t>ystème</w:t>
      </w:r>
      <w:r w:rsidR="0032472E" w:rsidRPr="0BBE459D">
        <w:rPr>
          <w:rFonts w:ascii="Calibri" w:eastAsia="Calibri" w:hAnsi="Calibri" w:cs="Calibri"/>
          <w:color w:val="000000" w:themeColor="text1"/>
        </w:rPr>
        <w:t>. Cela est rendu possible par la connaissance a priori de certaines informations sur le signal à traiter, chiffrables par un nombre fini de paramètres</w:t>
      </w:r>
      <w:r w:rsidR="00255083">
        <w:rPr>
          <w:rFonts w:ascii="Calibri" w:eastAsia="Calibri" w:hAnsi="Calibri" w:cs="Calibri"/>
          <w:color w:val="000000" w:themeColor="text1"/>
        </w:rPr>
        <w:t xml:space="preserve"> telles que</w:t>
      </w:r>
      <w:r w:rsidR="0032472E" w:rsidRPr="0BBE459D">
        <w:rPr>
          <w:rFonts w:ascii="Calibri" w:eastAsia="Calibri" w:hAnsi="Calibri" w:cs="Calibri"/>
          <w:color w:val="000000" w:themeColor="text1"/>
        </w:rPr>
        <w:t xml:space="preserve"> </w:t>
      </w:r>
      <w:r w:rsidR="00255083">
        <w:rPr>
          <w:rFonts w:ascii="Calibri" w:eastAsia="Calibri" w:hAnsi="Calibri" w:cs="Calibri"/>
          <w:color w:val="000000" w:themeColor="text1"/>
        </w:rPr>
        <w:t>le nombre d</w:t>
      </w:r>
      <w:r w:rsidR="00AE135F">
        <w:rPr>
          <w:rFonts w:ascii="Calibri" w:eastAsia="Calibri" w:hAnsi="Calibri" w:cs="Calibri"/>
          <w:color w:val="000000" w:themeColor="text1"/>
        </w:rPr>
        <w:t>’élément</w:t>
      </w:r>
      <w:r w:rsidR="00AD6A09">
        <w:rPr>
          <w:rFonts w:ascii="Calibri" w:eastAsia="Calibri" w:hAnsi="Calibri" w:cs="Calibri"/>
          <w:color w:val="000000" w:themeColor="text1"/>
        </w:rPr>
        <w:t>s</w:t>
      </w:r>
      <w:r w:rsidR="00AE135F">
        <w:rPr>
          <w:rFonts w:ascii="Calibri" w:eastAsia="Calibri" w:hAnsi="Calibri" w:cs="Calibri"/>
          <w:color w:val="000000" w:themeColor="text1"/>
        </w:rPr>
        <w:t xml:space="preserve"> composant le réseau ou encore des caractéristiques du signal et du bruit.</w:t>
      </w:r>
    </w:p>
    <w:p w14:paraId="751D08A9" w14:textId="656ADA71" w:rsidR="00A74E45" w:rsidRPr="002C4EA7" w:rsidRDefault="0032472E" w:rsidP="000F60A8">
      <w:pPr>
        <w:jc w:val="both"/>
        <w:rPr>
          <w:rFonts w:ascii="Calibri" w:eastAsia="Calibri" w:hAnsi="Calibri" w:cs="Calibri"/>
          <w:color w:val="000000" w:themeColor="text1"/>
        </w:rPr>
      </w:pPr>
      <w:r w:rsidRPr="0BBE459D">
        <w:rPr>
          <w:rFonts w:ascii="Calibri" w:eastAsia="Calibri" w:hAnsi="Calibri" w:cs="Calibri"/>
          <w:color w:val="000000" w:themeColor="text1"/>
        </w:rPr>
        <w:t>Parmi les méthodes de goniométrie à haute résolution, on peut citer la méthode de CAPON</w:t>
      </w:r>
      <w:r w:rsidR="002C4EA7">
        <w:rPr>
          <w:rFonts w:ascii="Calibri" w:eastAsia="Calibri" w:hAnsi="Calibri" w:cs="Calibri"/>
          <w:color w:val="000000" w:themeColor="text1"/>
        </w:rPr>
        <w:t xml:space="preserve"> [</w:t>
      </w:r>
      <w:commentRangeStart w:id="19"/>
      <w:r w:rsidR="002C4EA7">
        <w:rPr>
          <w:rFonts w:ascii="Calibri" w:eastAsia="Calibri" w:hAnsi="Calibri" w:cs="Calibri"/>
          <w:color w:val="000000" w:themeColor="text1"/>
        </w:rPr>
        <w:t>Ref</w:t>
      </w:r>
      <w:commentRangeEnd w:id="19"/>
      <w:r w:rsidR="002C4EA7">
        <w:rPr>
          <w:rStyle w:val="Marquedecommentaire"/>
        </w:rPr>
        <w:commentReference w:id="19"/>
      </w:r>
      <w:r w:rsidR="002C4EA7">
        <w:rPr>
          <w:rFonts w:ascii="Calibri" w:eastAsia="Calibri" w:hAnsi="Calibri" w:cs="Calibri"/>
          <w:color w:val="000000" w:themeColor="text1"/>
        </w:rPr>
        <w:t>]</w:t>
      </w:r>
      <w:r w:rsidRPr="0BBE459D">
        <w:rPr>
          <w:rFonts w:ascii="Calibri" w:eastAsia="Calibri" w:hAnsi="Calibri" w:cs="Calibri"/>
          <w:color w:val="000000" w:themeColor="text1"/>
        </w:rPr>
        <w:t xml:space="preserve">, </w:t>
      </w:r>
      <w:r w:rsidR="00023CE5" w:rsidRPr="00023CE5">
        <w:rPr>
          <w:rFonts w:ascii="Calibri" w:eastAsia="Calibri" w:hAnsi="Calibri" w:cs="Calibri"/>
          <w:i/>
          <w:color w:val="000000" w:themeColor="text1"/>
        </w:rPr>
        <w:t>estimation of signal parameters via rotating invariance principles</w:t>
      </w:r>
      <w:r w:rsidR="00023CE5">
        <w:rPr>
          <w:rFonts w:ascii="Calibri" w:eastAsia="Calibri" w:hAnsi="Calibri" w:cs="Calibri"/>
          <w:color w:val="000000" w:themeColor="text1"/>
        </w:rPr>
        <w:t xml:space="preserve"> (</w:t>
      </w:r>
      <w:r w:rsidRPr="0BBE459D">
        <w:rPr>
          <w:rFonts w:ascii="Calibri" w:eastAsia="Calibri" w:hAnsi="Calibri" w:cs="Calibri"/>
          <w:color w:val="000000" w:themeColor="text1"/>
        </w:rPr>
        <w:t>ESPRIT</w:t>
      </w:r>
      <w:r w:rsidR="00023CE5">
        <w:rPr>
          <w:rFonts w:ascii="Calibri" w:eastAsia="Calibri" w:hAnsi="Calibri" w:cs="Calibri"/>
          <w:color w:val="000000" w:themeColor="text1"/>
        </w:rPr>
        <w:t>)</w:t>
      </w:r>
      <w:r w:rsidR="00A33807">
        <w:rPr>
          <w:rFonts w:ascii="Calibri" w:eastAsia="Calibri" w:hAnsi="Calibri" w:cs="Calibri"/>
          <w:color w:val="000000" w:themeColor="text1"/>
        </w:rPr>
        <w:t xml:space="preserve"> [</w:t>
      </w:r>
      <w:commentRangeStart w:id="20"/>
      <w:r w:rsidR="00A33807">
        <w:rPr>
          <w:rFonts w:ascii="Calibri" w:eastAsia="Calibri" w:hAnsi="Calibri" w:cs="Calibri"/>
          <w:color w:val="000000" w:themeColor="text1"/>
        </w:rPr>
        <w:t>Ref</w:t>
      </w:r>
      <w:commentRangeEnd w:id="20"/>
      <w:r w:rsidR="00A33807">
        <w:rPr>
          <w:rStyle w:val="Marquedecommentaire"/>
        </w:rPr>
        <w:commentReference w:id="20"/>
      </w:r>
      <w:r w:rsidR="00A33807">
        <w:rPr>
          <w:rFonts w:ascii="Calibri" w:eastAsia="Calibri" w:hAnsi="Calibri" w:cs="Calibri"/>
          <w:color w:val="000000" w:themeColor="text1"/>
        </w:rPr>
        <w:t>]</w:t>
      </w:r>
      <w:r w:rsidR="00023CE5">
        <w:rPr>
          <w:rFonts w:ascii="Calibri" w:eastAsia="Calibri" w:hAnsi="Calibri" w:cs="Calibri"/>
          <w:color w:val="000000" w:themeColor="text1"/>
        </w:rPr>
        <w:t xml:space="preserve">, </w:t>
      </w:r>
      <w:r w:rsidRPr="0BBE459D">
        <w:rPr>
          <w:rFonts w:ascii="Calibri" w:eastAsia="Calibri" w:hAnsi="Calibri" w:cs="Calibri"/>
          <w:color w:val="000000" w:themeColor="text1"/>
        </w:rPr>
        <w:t xml:space="preserve">ou encore l’algorithme </w:t>
      </w:r>
      <w:r w:rsidR="00023CE5" w:rsidRPr="00023CE5">
        <w:rPr>
          <w:rFonts w:ascii="Calibri" w:eastAsia="Calibri" w:hAnsi="Calibri" w:cs="Calibri"/>
          <w:i/>
          <w:color w:val="000000" w:themeColor="text1"/>
        </w:rPr>
        <w:t>multiple signal classification</w:t>
      </w:r>
      <w:r w:rsidR="00023CE5">
        <w:rPr>
          <w:rFonts w:ascii="Calibri" w:eastAsia="Calibri" w:hAnsi="Calibri" w:cs="Calibri"/>
          <w:color w:val="000000" w:themeColor="text1"/>
        </w:rPr>
        <w:t xml:space="preserve"> (</w:t>
      </w:r>
      <w:r w:rsidRPr="0BBE459D">
        <w:rPr>
          <w:rFonts w:ascii="Calibri" w:eastAsia="Calibri" w:hAnsi="Calibri" w:cs="Calibri"/>
          <w:color w:val="000000" w:themeColor="text1"/>
        </w:rPr>
        <w:t>MUSIC</w:t>
      </w:r>
      <w:r w:rsidR="00023CE5">
        <w:rPr>
          <w:rFonts w:ascii="Calibri" w:eastAsia="Calibri" w:hAnsi="Calibri" w:cs="Calibri"/>
          <w:color w:val="000000" w:themeColor="text1"/>
        </w:rPr>
        <w:t>)</w:t>
      </w:r>
      <w:r w:rsidR="00A33807">
        <w:rPr>
          <w:rFonts w:ascii="Calibri" w:eastAsia="Calibri" w:hAnsi="Calibri" w:cs="Calibri"/>
          <w:color w:val="000000" w:themeColor="text1"/>
        </w:rPr>
        <w:t xml:space="preserve"> [</w:t>
      </w:r>
      <w:commentRangeStart w:id="21"/>
      <w:r w:rsidR="00A33807">
        <w:rPr>
          <w:rFonts w:ascii="Calibri" w:eastAsia="Calibri" w:hAnsi="Calibri" w:cs="Calibri"/>
          <w:color w:val="000000" w:themeColor="text1"/>
        </w:rPr>
        <w:t>Ref</w:t>
      </w:r>
      <w:commentRangeEnd w:id="21"/>
      <w:r w:rsidR="00A33807">
        <w:rPr>
          <w:rStyle w:val="Marquedecommentaire"/>
        </w:rPr>
        <w:commentReference w:id="21"/>
      </w:r>
      <w:r w:rsidR="00A33807">
        <w:rPr>
          <w:rFonts w:ascii="Calibri" w:eastAsia="Calibri" w:hAnsi="Calibri" w:cs="Calibri"/>
          <w:color w:val="000000" w:themeColor="text1"/>
        </w:rPr>
        <w:t>]</w:t>
      </w:r>
      <w:r w:rsidRPr="0BBE459D">
        <w:rPr>
          <w:rFonts w:ascii="Calibri" w:eastAsia="Calibri" w:hAnsi="Calibri" w:cs="Calibri"/>
          <w:color w:val="000000" w:themeColor="text1"/>
        </w:rPr>
        <w:t>.</w:t>
      </w:r>
      <w:r w:rsidR="002C4EA7">
        <w:rPr>
          <w:rFonts w:ascii="Calibri" w:eastAsia="Calibri" w:hAnsi="Calibri" w:cs="Calibri"/>
          <w:color w:val="000000" w:themeColor="text1"/>
        </w:rPr>
        <w:t xml:space="preserve"> </w:t>
      </w:r>
      <w:r w:rsidR="00E57AB4">
        <w:rPr>
          <w:rFonts w:ascii="Calibri" w:eastAsia="Calibri" w:hAnsi="Calibri" w:cs="Calibri"/>
          <w:color w:val="000000" w:themeColor="text1"/>
        </w:rPr>
        <w:t>C’est cependant</w:t>
      </w:r>
      <w:r w:rsidR="00A74E45">
        <w:rPr>
          <w:rFonts w:ascii="Calibri" w:eastAsia="Calibri" w:hAnsi="Calibri" w:cs="Calibri"/>
          <w:color w:val="000000" w:themeColor="text1"/>
        </w:rPr>
        <w:t xml:space="preserve"> l’algorithme MUSIC</w:t>
      </w:r>
      <w:r w:rsidR="0065534B">
        <w:rPr>
          <w:rFonts w:ascii="Calibri" w:eastAsia="Calibri" w:hAnsi="Calibri" w:cs="Calibri"/>
          <w:color w:val="000000" w:themeColor="text1"/>
        </w:rPr>
        <w:t>, développé par R. Schimdt en 1986,</w:t>
      </w:r>
      <w:r w:rsidR="00A74E45">
        <w:rPr>
          <w:rFonts w:ascii="Calibri" w:eastAsia="Calibri" w:hAnsi="Calibri" w:cs="Calibri"/>
          <w:color w:val="000000" w:themeColor="text1"/>
        </w:rPr>
        <w:t xml:space="preserve"> qui est le plus performant [</w:t>
      </w:r>
      <w:commentRangeStart w:id="22"/>
      <w:r w:rsidR="00A74E45">
        <w:rPr>
          <w:rFonts w:ascii="Calibri" w:eastAsia="Calibri" w:hAnsi="Calibri" w:cs="Calibri"/>
          <w:color w:val="000000" w:themeColor="text1"/>
        </w:rPr>
        <w:t xml:space="preserve">Ref], </w:t>
      </w:r>
      <w:commentRangeEnd w:id="22"/>
      <w:r w:rsidR="00A74E45">
        <w:rPr>
          <w:rStyle w:val="Marquedecommentaire"/>
        </w:rPr>
        <w:commentReference w:id="22"/>
      </w:r>
      <w:r w:rsidR="00023CE5">
        <w:rPr>
          <w:rFonts w:ascii="Calibri" w:eastAsia="Calibri" w:hAnsi="Calibri" w:cs="Calibri"/>
          <w:color w:val="000000" w:themeColor="text1"/>
        </w:rPr>
        <w:t>mais</w:t>
      </w:r>
      <w:r w:rsidR="00A33807">
        <w:rPr>
          <w:rFonts w:ascii="Calibri" w:eastAsia="Calibri" w:hAnsi="Calibri" w:cs="Calibri"/>
          <w:color w:val="000000" w:themeColor="text1"/>
        </w:rPr>
        <w:t xml:space="preserve"> il</w:t>
      </w:r>
      <w:r w:rsidR="00023CE5">
        <w:rPr>
          <w:rFonts w:ascii="Calibri" w:eastAsia="Calibri" w:hAnsi="Calibri" w:cs="Calibri"/>
          <w:color w:val="000000" w:themeColor="text1"/>
        </w:rPr>
        <w:t xml:space="preserve"> demande un coût plus élevé en </w:t>
      </w:r>
      <w:r w:rsidR="00754C1C">
        <w:rPr>
          <w:rFonts w:ascii="Calibri" w:eastAsia="Calibri" w:hAnsi="Calibri" w:cs="Calibri"/>
          <w:color w:val="000000" w:themeColor="text1"/>
        </w:rPr>
        <w:t>termes</w:t>
      </w:r>
      <w:r w:rsidR="00023CE5">
        <w:rPr>
          <w:rFonts w:ascii="Calibri" w:eastAsia="Calibri" w:hAnsi="Calibri" w:cs="Calibri"/>
          <w:color w:val="000000" w:themeColor="text1"/>
        </w:rPr>
        <w:t xml:space="preserve"> de temps de calcul et de stockage des données </w:t>
      </w:r>
      <w:commentRangeStart w:id="23"/>
      <w:r w:rsidR="00023CE5">
        <w:rPr>
          <w:rFonts w:ascii="Calibri" w:eastAsia="Calibri" w:hAnsi="Calibri" w:cs="Calibri"/>
          <w:color w:val="000000" w:themeColor="text1"/>
        </w:rPr>
        <w:t>[Ref].</w:t>
      </w:r>
      <w:commentRangeEnd w:id="23"/>
      <w:r w:rsidR="00023CE5">
        <w:rPr>
          <w:rStyle w:val="Marquedecommentaire"/>
        </w:rPr>
        <w:commentReference w:id="23"/>
      </w:r>
    </w:p>
    <w:p w14:paraId="66AA8BD8" w14:textId="2772430C" w:rsidR="003C1B66" w:rsidRDefault="002C7B27" w:rsidP="000F60A8">
      <w:pPr>
        <w:pStyle w:val="Titre2"/>
        <w:jc w:val="both"/>
      </w:pPr>
      <w:bookmarkStart w:id="24" w:name="_Toc104886659"/>
      <w:r>
        <w:t xml:space="preserve">Indicateurs de la </w:t>
      </w:r>
      <w:r w:rsidR="003C1B66">
        <w:t xml:space="preserve">performance </w:t>
      </w:r>
      <w:r w:rsidR="003C1B66" w:rsidRPr="003C1B66">
        <w:t>d’un</w:t>
      </w:r>
      <w:r w:rsidR="003C1B66">
        <w:t xml:space="preserve"> radiogoniomètre</w:t>
      </w:r>
      <w:bookmarkEnd w:id="24"/>
    </w:p>
    <w:p w14:paraId="57F7F51B" w14:textId="783AC0C6" w:rsidR="003C1B66" w:rsidRDefault="003C1B66" w:rsidP="000F60A8">
      <w:pPr>
        <w:jc w:val="both"/>
      </w:pPr>
      <w:r>
        <w:t>Plusieurs caractéristiques sont évaluées afin d’estimer la performance d’un radiogoniomètre.</w:t>
      </w:r>
      <w:r w:rsidR="00BA61D2">
        <w:t xml:space="preserve"> Elles dépendent du réseau d’antenne utilisé, mais également de la méthode de goniométrie. Ainsi, il est nécessaire de choisir une antenne ayant des propriétés qui s’associent avec la technique de goniométrie voulue, ou inversement. De plus, ces choix dépendent des contraintes de l’application, impliquant des contraintes économiques, de dimensions, de poids ou environnementales</w:t>
      </w:r>
      <w:r w:rsidR="00CE1CCF">
        <w:t xml:space="preserve">, amenant fondamentalement à réaliser des compromis entre les performances et les différentes contraintes. On peut cependant décrire plusieurs </w:t>
      </w:r>
      <w:r w:rsidR="007C2D1C">
        <w:t>indicateurs</w:t>
      </w:r>
      <w:r w:rsidR="00CE1CCF">
        <w:t xml:space="preserve"> permettant d’améliorer la qualité des performances d’un système goniométrique.</w:t>
      </w:r>
    </w:p>
    <w:p w14:paraId="380A00A0" w14:textId="48D25871" w:rsidR="00CE1CCF" w:rsidRDefault="00256711" w:rsidP="000F60A8">
      <w:pPr>
        <w:pStyle w:val="Titre3"/>
        <w:jc w:val="both"/>
      </w:pPr>
      <w:bookmarkStart w:id="25" w:name="_Toc104886660"/>
      <w:r>
        <w:t>Couverture angulaire</w:t>
      </w:r>
      <w:bookmarkEnd w:id="25"/>
    </w:p>
    <w:p w14:paraId="3FB049DF" w14:textId="564B1F3C" w:rsidR="00256711" w:rsidRPr="00256711" w:rsidRDefault="00256711" w:rsidP="000F60A8">
      <w:pPr>
        <w:jc w:val="both"/>
      </w:pPr>
      <w:r>
        <w:t>La couverture angulaire d’un radiogoniomètre dépend premièrement du diagramme de rayonnement de l’antenne utilisée. Elle peut ensuite se limiter à une couverture 2D, en réalisant une estimation de la direction d’arrivée uniquement en azimut ou en élévation, ou bien en 3D lorsqu’elle couvre l’azimut et l’élévation. Certaines méthodes de goniométrie ne peuvent toutefois pas fonctionner avec une couverture 3D, comme la goniométrie par effet Doppler.</w:t>
      </w:r>
    </w:p>
    <w:p w14:paraId="080F2A31" w14:textId="726664F4" w:rsidR="00256711" w:rsidRDefault="00256711" w:rsidP="000F60A8">
      <w:pPr>
        <w:pStyle w:val="Titre3"/>
        <w:jc w:val="both"/>
      </w:pPr>
      <w:bookmarkStart w:id="26" w:name="_Toc104886661"/>
      <w:r>
        <w:t>Couverture fréquentielle</w:t>
      </w:r>
      <w:bookmarkEnd w:id="26"/>
    </w:p>
    <w:p w14:paraId="1AFA14A5" w14:textId="30CA4137" w:rsidR="00256711" w:rsidRPr="00256711" w:rsidRDefault="00256711" w:rsidP="000F60A8">
      <w:pPr>
        <w:jc w:val="both"/>
      </w:pPr>
      <w:r>
        <w:t xml:space="preserve">La couverture fréquentielle dépend également des caractéristiques antennaires, ici le coefficient de réflexion, le gain et le diagramme de rayonnement afin d’obtenir les </w:t>
      </w:r>
      <w:r w:rsidR="00D96C8A">
        <w:t>caractéristiques de goniométrie voulues</w:t>
      </w:r>
      <w:r w:rsidR="008D627A">
        <w:t xml:space="preserve"> sur une bande de fréquence plus ou moins large</w:t>
      </w:r>
      <w:r w:rsidR="00D96C8A">
        <w:t>.</w:t>
      </w:r>
      <w:r w:rsidR="00577AC1">
        <w:t xml:space="preserve"> </w:t>
      </w:r>
    </w:p>
    <w:p w14:paraId="699774BD" w14:textId="2A4A878C" w:rsidR="00256711" w:rsidRDefault="00256711" w:rsidP="000F60A8">
      <w:pPr>
        <w:pStyle w:val="Titre3"/>
        <w:jc w:val="both"/>
      </w:pPr>
      <w:bookmarkStart w:id="27" w:name="_Toc104886662"/>
      <w:r>
        <w:t>Bande de Cramer-Rao</w:t>
      </w:r>
      <w:bookmarkEnd w:id="27"/>
    </w:p>
    <w:p w14:paraId="37534BDC" w14:textId="6F8D2749" w:rsidR="00577AC1" w:rsidRDefault="00577AC1" w:rsidP="000F60A8">
      <w:pPr>
        <w:jc w:val="both"/>
      </w:pPr>
      <w:r>
        <w:t>La borne de Cramer-Rao (BCR) est la borne inférieure de l’erreur de précision de la direction d’arrivée du signal</w:t>
      </w:r>
      <w:r w:rsidR="002B6C27">
        <w:t xml:space="preserve"> qu’il est possible d’atteindre</w:t>
      </w:r>
      <w:r>
        <w:t>.</w:t>
      </w:r>
      <w:r w:rsidR="002B6C27">
        <w:t xml:space="preserve"> </w:t>
      </w:r>
      <w:r w:rsidR="00FC5612">
        <w:t>E</w:t>
      </w:r>
      <w:r w:rsidR="00486A87">
        <w:t xml:space="preserve">lle fut nommée en </w:t>
      </w:r>
      <w:r w:rsidR="004A5B2E">
        <w:t>l’</w:t>
      </w:r>
      <w:r w:rsidR="00486A87">
        <w:t>honneur de H. Cramer et C.</w:t>
      </w:r>
      <w:r w:rsidR="0045228C">
        <w:t xml:space="preserve"> </w:t>
      </w:r>
      <w:r w:rsidR="00486A87">
        <w:t>R.</w:t>
      </w:r>
      <w:r w:rsidR="0045228C">
        <w:t xml:space="preserve"> </w:t>
      </w:r>
      <w:r w:rsidR="00486A87">
        <w:t>Rao qui ont étudié indépendamment cette limite dans les années 1940</w:t>
      </w:r>
      <w:r w:rsidR="00D91E52">
        <w:t xml:space="preserve"> [</w:t>
      </w:r>
      <w:commentRangeStart w:id="28"/>
      <w:r w:rsidR="00D91E52">
        <w:t>Ref, Ref</w:t>
      </w:r>
      <w:commentRangeEnd w:id="28"/>
      <w:r w:rsidR="00D91E52">
        <w:rPr>
          <w:rStyle w:val="Marquedecommentaire"/>
        </w:rPr>
        <w:commentReference w:id="28"/>
      </w:r>
      <w:r w:rsidR="00D91E52">
        <w:t>]</w:t>
      </w:r>
      <w:r w:rsidR="00486A87">
        <w:t>.</w:t>
      </w:r>
      <w:r w:rsidR="004A5B2E">
        <w:t xml:space="preserve"> </w:t>
      </w:r>
    </w:p>
    <w:p w14:paraId="116B5A59" w14:textId="77777777" w:rsidR="006267A6" w:rsidRPr="00123BD6" w:rsidRDefault="002925DC" w:rsidP="006267A6">
      <w:pPr>
        <w:jc w:val="both"/>
        <w:rPr>
          <w:rFonts w:cstheme="minorHAnsi"/>
        </w:rPr>
      </w:pPr>
      <w:r>
        <w:rPr>
          <w:rFonts w:ascii="Calibri" w:eastAsia="Calibri" w:hAnsi="Calibri" w:cs="Calibri"/>
          <w:color w:val="000000" w:themeColor="text1"/>
        </w:rPr>
        <w:t xml:space="preserve">Son expression analytique </w:t>
      </w:r>
      <w:r w:rsidR="00123BD6">
        <w:rPr>
          <w:rFonts w:ascii="Calibri" w:eastAsia="Calibri" w:hAnsi="Calibri" w:cs="Calibri"/>
          <w:color w:val="000000" w:themeColor="text1"/>
        </w:rPr>
        <w:t xml:space="preserve">et le développement complet sont détaillés </w:t>
      </w:r>
      <w:r w:rsidR="00D56AC2">
        <w:rPr>
          <w:rFonts w:ascii="Calibri" w:eastAsia="Calibri" w:hAnsi="Calibri" w:cs="Calibri"/>
          <w:color w:val="000000" w:themeColor="text1"/>
        </w:rPr>
        <w:t>dans</w:t>
      </w:r>
      <w:r w:rsidR="00244311">
        <w:rPr>
          <w:rFonts w:ascii="Calibri" w:eastAsia="Calibri" w:hAnsi="Calibri" w:cs="Calibri"/>
          <w:color w:val="000000" w:themeColor="text1"/>
        </w:rPr>
        <w:t xml:space="preserve"> [</w:t>
      </w:r>
      <w:commentRangeStart w:id="29"/>
      <w:r w:rsidR="00244311">
        <w:rPr>
          <w:rFonts w:ascii="Calibri" w:eastAsia="Calibri" w:hAnsi="Calibri" w:cs="Calibri"/>
          <w:color w:val="000000" w:themeColor="text1"/>
        </w:rPr>
        <w:t>Ref, Ref</w:t>
      </w:r>
      <w:commentRangeEnd w:id="29"/>
      <w:r w:rsidR="00244311">
        <w:rPr>
          <w:rStyle w:val="Marquedecommentaire"/>
        </w:rPr>
        <w:commentReference w:id="29"/>
      </w:r>
      <w:r w:rsidR="00244311">
        <w:rPr>
          <w:rFonts w:ascii="Calibri" w:eastAsia="Calibri" w:hAnsi="Calibri" w:cs="Calibri"/>
          <w:color w:val="000000" w:themeColor="text1"/>
        </w:rPr>
        <w:t>]</w:t>
      </w:r>
      <w:r>
        <w:rPr>
          <w:rFonts w:ascii="Calibri" w:eastAsia="Calibri" w:hAnsi="Calibri" w:cs="Calibri"/>
          <w:color w:val="000000" w:themeColor="text1"/>
        </w:rPr>
        <w:t>.</w:t>
      </w:r>
      <w:r w:rsidR="00123BD6">
        <w:rPr>
          <w:rFonts w:ascii="Calibri" w:eastAsia="Calibri" w:hAnsi="Calibri" w:cs="Calibri"/>
          <w:color w:val="000000" w:themeColor="text1"/>
        </w:rPr>
        <w:t xml:space="preserve"> </w:t>
      </w:r>
      <w:r w:rsidR="00123BD6">
        <w:rPr>
          <w:rFonts w:ascii="Calibri" w:eastAsia="Calibri" w:hAnsi="Calibri" w:cs="Calibri"/>
          <w:color w:val="000000" w:themeColor="text1"/>
        </w:rPr>
        <w:t xml:space="preserve">Cette métrique est </w:t>
      </w:r>
      <w:r w:rsidR="00123BD6" w:rsidRPr="00C90164">
        <w:rPr>
          <w:rFonts w:ascii="Calibri" w:eastAsia="Calibri" w:hAnsi="Calibri" w:cs="Calibri"/>
          <w:color w:val="000000" w:themeColor="text1"/>
        </w:rPr>
        <w:t>indépendante du traitement d’antenne</w:t>
      </w:r>
      <w:r w:rsidR="00123BD6">
        <w:rPr>
          <w:rFonts w:ascii="Calibri" w:eastAsia="Calibri" w:hAnsi="Calibri" w:cs="Calibri"/>
          <w:color w:val="000000" w:themeColor="text1"/>
        </w:rPr>
        <w:t xml:space="preserve"> et dépend principalement des </w:t>
      </w:r>
      <w:r w:rsidR="00123BD6" w:rsidRPr="00C90164">
        <w:rPr>
          <w:rFonts w:ascii="Calibri" w:eastAsia="Calibri" w:hAnsi="Calibri" w:cs="Calibri"/>
          <w:color w:val="000000" w:themeColor="text1"/>
        </w:rPr>
        <w:t xml:space="preserve">propriétés du réseau </w:t>
      </w:r>
      <w:r w:rsidR="00123BD6">
        <w:rPr>
          <w:rFonts w:ascii="Calibri" w:eastAsia="Calibri" w:hAnsi="Calibri" w:cs="Calibri"/>
          <w:color w:val="000000" w:themeColor="text1"/>
        </w:rPr>
        <w:t>antennaire (</w:t>
      </w:r>
      <w:r w:rsidR="00123BD6" w:rsidRPr="00C90164">
        <w:rPr>
          <w:rFonts w:ascii="Calibri" w:eastAsia="Calibri" w:hAnsi="Calibri" w:cs="Calibri"/>
          <w:color w:val="000000" w:themeColor="text1"/>
        </w:rPr>
        <w:t>RA</w:t>
      </w:r>
      <w:r w:rsidR="00123BD6">
        <w:rPr>
          <w:rFonts w:ascii="Calibri" w:eastAsia="Calibri" w:hAnsi="Calibri" w:cs="Calibri"/>
          <w:color w:val="000000" w:themeColor="text1"/>
        </w:rPr>
        <w:t>)</w:t>
      </w:r>
      <w:r w:rsidR="00123BD6" w:rsidRPr="00C90164">
        <w:rPr>
          <w:rFonts w:ascii="Calibri" w:eastAsia="Calibri" w:hAnsi="Calibri" w:cs="Calibri"/>
          <w:color w:val="000000" w:themeColor="text1"/>
        </w:rPr>
        <w:t xml:space="preserve">, du rapport signal sur bruit (SNR) </w:t>
      </w:r>
      <w:r w:rsidR="00123BD6">
        <w:rPr>
          <w:rFonts w:ascii="Calibri" w:eastAsia="Calibri" w:hAnsi="Calibri" w:cs="Calibri"/>
          <w:color w:val="000000" w:themeColor="text1"/>
        </w:rPr>
        <w:t>moyen sur chaque voie.</w:t>
      </w:r>
      <w:r w:rsidR="006267A6">
        <w:rPr>
          <w:rFonts w:ascii="Calibri" w:eastAsia="Calibri" w:hAnsi="Calibri" w:cs="Calibri"/>
          <w:color w:val="000000" w:themeColor="text1"/>
        </w:rPr>
        <w:t xml:space="preserve"> </w:t>
      </w:r>
      <w:r w:rsidR="006267A6">
        <w:rPr>
          <w:rFonts w:ascii="Calibri" w:eastAsia="Calibri" w:hAnsi="Calibri" w:cs="Calibri"/>
          <w:bCs/>
          <w:color w:val="000000" w:themeColor="text1"/>
        </w:rPr>
        <w:t>Concrètement, si l’estimateur (le modèle/système théorique avec lequel on travaille) n’atteint pas la BCR, il est théoriquement possible d’améliorer encore la précision de ce système. Cette borne permet également de savoir à l’avance si les spécifications souhaitées ne sont pas inatteignables (valeur d’erreur de précision inférieure à la BCR).</w:t>
      </w:r>
    </w:p>
    <w:p w14:paraId="3D1F8FA9" w14:textId="492AFE52" w:rsidR="00123BD6" w:rsidRDefault="00123BD6" w:rsidP="000F60A8">
      <w:pPr>
        <w:jc w:val="both"/>
        <w:rPr>
          <w:rFonts w:ascii="Calibri" w:eastAsia="Calibri" w:hAnsi="Calibri" w:cs="Calibri"/>
          <w:color w:val="000000" w:themeColor="text1"/>
        </w:rPr>
      </w:pPr>
    </w:p>
    <w:p w14:paraId="19311843" w14:textId="0C8CC5AC" w:rsidR="002925DC" w:rsidRDefault="002925DC" w:rsidP="000F60A8">
      <w:pPr>
        <w:jc w:val="both"/>
        <w:rPr>
          <w:rFonts w:ascii="Calibri" w:eastAsia="Calibri" w:hAnsi="Calibri" w:cs="Calibri"/>
          <w:color w:val="000000" w:themeColor="text1"/>
        </w:rPr>
      </w:pPr>
      <w:r>
        <w:rPr>
          <w:rFonts w:ascii="Calibri" w:eastAsia="Calibri" w:hAnsi="Calibri" w:cs="Calibri"/>
          <w:color w:val="000000" w:themeColor="text1"/>
        </w:rPr>
        <w:t>L’expression de la BCR peut toutefois être simplifiée dans les cas basiques de réseaux uniformes et sans couplage entre sources.</w:t>
      </w:r>
      <w:r w:rsidR="002E1F1B">
        <w:rPr>
          <w:rFonts w:ascii="Calibri" w:eastAsia="Calibri" w:hAnsi="Calibri" w:cs="Calibri"/>
          <w:color w:val="000000" w:themeColor="text1"/>
        </w:rPr>
        <w:t xml:space="preserve"> Ci-dessous l’expression </w:t>
      </w:r>
      <w:r w:rsidR="00123BD6">
        <w:rPr>
          <w:rFonts w:ascii="Calibri" w:eastAsia="Calibri" w:hAnsi="Calibri" w:cs="Calibri"/>
          <w:color w:val="000000" w:themeColor="text1"/>
        </w:rPr>
        <w:t xml:space="preserve">générale </w:t>
      </w:r>
      <w:r w:rsidR="002E1F1B">
        <w:rPr>
          <w:rFonts w:ascii="Calibri" w:eastAsia="Calibri" w:hAnsi="Calibri" w:cs="Calibri"/>
          <w:color w:val="000000" w:themeColor="text1"/>
        </w:rPr>
        <w:t>de la</w:t>
      </w:r>
      <w:r w:rsidR="00D56AC2">
        <w:rPr>
          <w:rFonts w:ascii="Calibri" w:eastAsia="Calibri" w:hAnsi="Calibri" w:cs="Calibri"/>
          <w:color w:val="000000" w:themeColor="text1"/>
        </w:rPr>
        <w:t xml:space="preserve"> BCR</w:t>
      </w:r>
      <w:r w:rsidR="00123BD6">
        <w:rPr>
          <w:rFonts w:ascii="Calibri" w:eastAsia="Calibri" w:hAnsi="Calibri" w:cs="Calibri"/>
          <w:color w:val="000000" w:themeColor="text1"/>
        </w:rPr>
        <w:t xml:space="preserve"> tiré de [</w:t>
      </w:r>
      <w:commentRangeStart w:id="30"/>
      <w:r w:rsidR="00123BD6">
        <w:rPr>
          <w:rFonts w:ascii="Calibri" w:eastAsia="Calibri" w:hAnsi="Calibri" w:cs="Calibri"/>
          <w:color w:val="000000" w:themeColor="text1"/>
        </w:rPr>
        <w:t>Ref</w:t>
      </w:r>
      <w:commentRangeEnd w:id="30"/>
      <w:r w:rsidR="00123BD6">
        <w:rPr>
          <w:rStyle w:val="Marquedecommentaire"/>
        </w:rPr>
        <w:commentReference w:id="30"/>
      </w:r>
      <w:r w:rsidR="00123BD6">
        <w:rPr>
          <w:rFonts w:ascii="Calibri" w:eastAsia="Calibri" w:hAnsi="Calibri" w:cs="Calibri"/>
          <w:color w:val="000000" w:themeColor="text1"/>
        </w:rPr>
        <w:t>]</w:t>
      </w:r>
      <w:r w:rsidR="00D56AC2">
        <w:rPr>
          <w:rFonts w:ascii="Calibri" w:eastAsia="Calibri" w:hAnsi="Calibri" w:cs="Calibri"/>
          <w:color w:val="000000" w:themeColor="text1"/>
        </w:rPr>
        <w:t xml:space="preserve"> pour un réseau </w:t>
      </w:r>
      <w:r w:rsidR="00123BD6">
        <w:rPr>
          <w:rFonts w:ascii="Calibri" w:eastAsia="Calibri" w:hAnsi="Calibri" w:cs="Calibri"/>
          <w:color w:val="000000" w:themeColor="text1"/>
        </w:rPr>
        <w:t>de géométrie quelconque décrit par sa distance angulaire α.</w:t>
      </w:r>
    </w:p>
    <w:p w14:paraId="4C48E85B" w14:textId="34C8A763" w:rsidR="00123BD6" w:rsidRPr="00123BD6" w:rsidRDefault="00123BD6" w:rsidP="00123BD6">
      <w:pPr>
        <w:rPr>
          <w:iCs/>
          <w:color w:val="000000" w:themeColor="text1"/>
          <w:kern w:val="24"/>
          <w:sz w:val="24"/>
          <w:szCs w:val="36"/>
          <w:lang w:val="en-GB"/>
        </w:rPr>
      </w:pPr>
      <m:oMathPara>
        <m:oMath>
          <m:sSubSup>
            <m:sSubSupPr>
              <m:ctrlPr>
                <w:rPr>
                  <w:rFonts w:ascii="Cambria Math" w:eastAsiaTheme="minorEastAsia" w:hAnsi="Cambria Math"/>
                  <w:i/>
                  <w:iCs/>
                  <w:color w:val="000000" w:themeColor="text1"/>
                  <w:kern w:val="24"/>
                  <w:sz w:val="24"/>
                  <w:szCs w:val="36"/>
                  <w:lang w:val="en-GB"/>
                </w:rPr>
              </m:ctrlPr>
            </m:sSubSupPr>
            <m:e>
              <m:r>
                <w:rPr>
                  <w:rFonts w:ascii="Cambria Math" w:hAnsi="Cambria Math"/>
                  <w:color w:val="000000" w:themeColor="text1"/>
                  <w:kern w:val="24"/>
                  <w:sz w:val="24"/>
                  <w:szCs w:val="36"/>
                  <w:lang w:val="el-GR"/>
                </w:rPr>
                <m:t>σ</m:t>
              </m:r>
            </m:e>
            <m:sub>
              <m:r>
                <m:rPr>
                  <m:sty m:val="p"/>
                </m:rPr>
                <w:rPr>
                  <w:rFonts w:ascii="Cambria Math" w:hAnsi="Cambria Math"/>
                </w:rPr>
                <m:t>Ψ</m:t>
              </m:r>
            </m:sub>
            <m:sup>
              <m:r>
                <w:rPr>
                  <w:rFonts w:ascii="Cambria Math" w:hAnsi="Cambria Math"/>
                  <w:color w:val="000000" w:themeColor="text1"/>
                  <w:kern w:val="24"/>
                  <w:sz w:val="24"/>
                  <w:szCs w:val="36"/>
                </w:rPr>
                <m:t>2</m:t>
              </m:r>
            </m:sup>
          </m:sSubSup>
          <m:r>
            <w:rPr>
              <w:rFonts w:ascii="Cambria Math" w:eastAsiaTheme="minorEastAsia" w:hAnsi="Cambria Math"/>
              <w:color w:val="000000" w:themeColor="text1"/>
              <w:kern w:val="24"/>
              <w:sz w:val="24"/>
              <w:szCs w:val="36"/>
              <w:lang w:val="en-GB"/>
            </w:rPr>
            <m:t>=</m:t>
          </m:r>
          <m:f>
            <m:fPr>
              <m:ctrlPr>
                <w:rPr>
                  <w:rFonts w:ascii="Cambria Math" w:eastAsiaTheme="minorEastAsia" w:hAnsi="Cambria Math"/>
                  <w:i/>
                  <w:iCs/>
                  <w:color w:val="000000" w:themeColor="text1"/>
                  <w:kern w:val="24"/>
                  <w:sz w:val="24"/>
                  <w:szCs w:val="36"/>
                  <w:lang w:val="en-GB"/>
                </w:rPr>
              </m:ctrlPr>
            </m:fPr>
            <m:num>
              <m:r>
                <w:rPr>
                  <w:rFonts w:ascii="Cambria Math" w:hAnsi="Cambria Math"/>
                  <w:color w:val="000000" w:themeColor="text1"/>
                  <w:kern w:val="24"/>
                  <w:sz w:val="24"/>
                  <w:szCs w:val="36"/>
                </w:rPr>
                <m:t>1</m:t>
              </m:r>
            </m:num>
            <m:den>
              <m:r>
                <w:rPr>
                  <w:rFonts w:ascii="Cambria Math" w:hAnsi="Cambria Math"/>
                  <w:color w:val="000000" w:themeColor="text1"/>
                  <w:kern w:val="24"/>
                  <w:sz w:val="24"/>
                  <w:szCs w:val="36"/>
                </w:rPr>
                <m:t>2.K.</m:t>
              </m:r>
              <m:r>
                <w:rPr>
                  <w:rFonts w:ascii="Cambria Math" w:hAnsi="Cambria Math"/>
                  <w:color w:val="000000" w:themeColor="text1"/>
                  <w:kern w:val="24"/>
                  <w:sz w:val="24"/>
                  <w:szCs w:val="36"/>
                </w:rPr>
                <m:t>SNR</m:t>
              </m:r>
            </m:den>
          </m:f>
          <m:f>
            <m:fPr>
              <m:ctrlPr>
                <w:rPr>
                  <w:rFonts w:ascii="Cambria Math" w:eastAsiaTheme="minorEastAsia" w:hAnsi="Cambria Math"/>
                  <w:i/>
                  <w:iCs/>
                  <w:color w:val="000000" w:themeColor="text1"/>
                  <w:kern w:val="24"/>
                  <w:sz w:val="24"/>
                  <w:szCs w:val="36"/>
                  <w:lang w:val="en-GB"/>
                </w:rPr>
              </m:ctrlPr>
            </m:fPr>
            <m:num>
              <m:r>
                <w:rPr>
                  <w:rFonts w:ascii="Cambria Math" w:hAnsi="Cambria Math"/>
                  <w:color w:val="000000" w:themeColor="text1"/>
                  <w:kern w:val="24"/>
                  <w:sz w:val="24"/>
                  <w:szCs w:val="36"/>
                </w:rPr>
                <m:t>1</m:t>
              </m:r>
            </m:num>
            <m:den>
              <m:sSup>
                <m:sSupPr>
                  <m:ctrlPr>
                    <w:rPr>
                      <w:rFonts w:ascii="Cambria Math" w:eastAsiaTheme="minorEastAsia" w:hAnsi="Cambria Math"/>
                      <w:i/>
                      <w:iCs/>
                      <w:color w:val="000000" w:themeColor="text1"/>
                      <w:kern w:val="24"/>
                      <w:sz w:val="24"/>
                      <w:szCs w:val="36"/>
                      <w:lang w:val="en-GB"/>
                    </w:rPr>
                  </m:ctrlPr>
                </m:sSupPr>
                <m:e>
                  <m:d>
                    <m:dPr>
                      <m:begChr m:val="‖"/>
                      <m:endChr m:val="‖"/>
                      <m:ctrlPr>
                        <w:rPr>
                          <w:rFonts w:ascii="Cambria Math" w:eastAsiaTheme="minorEastAsia" w:hAnsi="Cambria Math"/>
                          <w:i/>
                          <w:iCs/>
                          <w:color w:val="000000" w:themeColor="text1"/>
                          <w:kern w:val="24"/>
                          <w:sz w:val="24"/>
                          <w:szCs w:val="36"/>
                          <w:lang w:val="en-GB"/>
                        </w:rPr>
                      </m:ctrlPr>
                    </m:dPr>
                    <m:e>
                      <m:sSub>
                        <m:sSubPr>
                          <m:ctrlPr>
                            <w:rPr>
                              <w:rFonts w:ascii="Cambria Math" w:eastAsiaTheme="minorEastAsia" w:hAnsi="Cambria Math"/>
                              <w:i/>
                              <w:iCs/>
                              <w:color w:val="000000" w:themeColor="text1"/>
                              <w:kern w:val="24"/>
                              <w:sz w:val="24"/>
                              <w:szCs w:val="36"/>
                              <w:lang w:val="en-GB"/>
                            </w:rPr>
                          </m:ctrlPr>
                        </m:sSubPr>
                        <m:e>
                          <m:acc>
                            <m:accPr>
                              <m:chr m:val="̇"/>
                              <m:ctrlPr>
                                <w:rPr>
                                  <w:rFonts w:ascii="Cambria Math" w:eastAsiaTheme="minorEastAsia" w:hAnsi="Cambria Math"/>
                                  <w:i/>
                                  <w:iCs/>
                                  <w:color w:val="000000" w:themeColor="text1"/>
                                  <w:kern w:val="24"/>
                                  <w:sz w:val="24"/>
                                  <w:szCs w:val="36"/>
                                  <w:lang w:val="en-GB"/>
                                </w:rPr>
                              </m:ctrlPr>
                            </m:accPr>
                            <m:e>
                              <m:r>
                                <w:rPr>
                                  <w:rFonts w:ascii="Cambria Math" w:hAnsi="Cambria Math"/>
                                  <w:color w:val="000000" w:themeColor="text1"/>
                                  <w:kern w:val="24"/>
                                  <w:sz w:val="24"/>
                                  <w:szCs w:val="36"/>
                                </w:rPr>
                                <m:t>a</m:t>
                              </m:r>
                            </m:e>
                          </m:acc>
                        </m:e>
                        <m:sub>
                          <m:r>
                            <w:rPr>
                              <w:rFonts w:ascii="Cambria Math" w:eastAsiaTheme="minorEastAsia" w:hAnsi="Cambria Math"/>
                              <w:color w:val="000000" w:themeColor="text1"/>
                              <w:kern w:val="24"/>
                              <w:sz w:val="24"/>
                              <w:szCs w:val="36"/>
                              <w:lang w:val="en-GB"/>
                            </w:rPr>
                            <m:t>norm</m:t>
                          </m:r>
                        </m:sub>
                      </m:sSub>
                    </m:e>
                  </m:d>
                </m:e>
                <m:sup>
                  <m:r>
                    <w:rPr>
                      <w:rFonts w:ascii="Cambria Math" w:hAnsi="Cambria Math"/>
                      <w:color w:val="000000" w:themeColor="text1"/>
                      <w:kern w:val="24"/>
                      <w:sz w:val="24"/>
                      <w:szCs w:val="36"/>
                    </w:rPr>
                    <m:t>2</m:t>
                  </m:r>
                </m:sup>
              </m:sSup>
              <m:r>
                <w:rPr>
                  <w:rFonts w:ascii="Cambria Math" w:hAnsi="Cambria Math"/>
                  <w:color w:val="000000" w:themeColor="text1"/>
                  <w:kern w:val="24"/>
                  <w:sz w:val="24"/>
                  <w:szCs w:val="36"/>
                </w:rPr>
                <m:t>-</m:t>
              </m:r>
              <m:f>
                <m:fPr>
                  <m:ctrlPr>
                    <w:rPr>
                      <w:rFonts w:ascii="Cambria Math" w:eastAsiaTheme="minorEastAsia" w:hAnsi="Cambria Math"/>
                      <w:i/>
                      <w:iCs/>
                      <w:color w:val="000000" w:themeColor="text1"/>
                      <w:kern w:val="24"/>
                      <w:sz w:val="24"/>
                      <w:szCs w:val="36"/>
                    </w:rPr>
                  </m:ctrlPr>
                </m:fPr>
                <m:num>
                  <m:sSup>
                    <m:sSupPr>
                      <m:ctrlPr>
                        <w:rPr>
                          <w:rFonts w:ascii="Cambria Math" w:eastAsiaTheme="minorEastAsia" w:hAnsi="Cambria Math"/>
                          <w:i/>
                          <w:iCs/>
                          <w:color w:val="000000" w:themeColor="text1"/>
                          <w:kern w:val="24"/>
                          <w:sz w:val="24"/>
                          <w:szCs w:val="36"/>
                        </w:rPr>
                      </m:ctrlPr>
                    </m:sSupPr>
                    <m:e>
                      <m:d>
                        <m:dPr>
                          <m:begChr m:val="|"/>
                          <m:endChr m:val="|"/>
                          <m:ctrlPr>
                            <w:rPr>
                              <w:rFonts w:ascii="Cambria Math" w:eastAsiaTheme="minorEastAsia" w:hAnsi="Cambria Math"/>
                              <w:i/>
                              <w:iCs/>
                              <w:color w:val="000000" w:themeColor="text1"/>
                              <w:kern w:val="24"/>
                              <w:sz w:val="24"/>
                              <w:szCs w:val="36"/>
                            </w:rPr>
                          </m:ctrlPr>
                        </m:dPr>
                        <m:e>
                          <m:sSup>
                            <m:sSupPr>
                              <m:ctrlPr>
                                <w:rPr>
                                  <w:rFonts w:ascii="Cambria Math" w:eastAsiaTheme="minorEastAsia" w:hAnsi="Cambria Math"/>
                                  <w:i/>
                                  <w:iCs/>
                                  <w:color w:val="000000" w:themeColor="text1"/>
                                  <w:kern w:val="24"/>
                                  <w:sz w:val="24"/>
                                  <w:szCs w:val="36"/>
                                </w:rPr>
                              </m:ctrlPr>
                            </m:sSupPr>
                            <m:e>
                              <m:acc>
                                <m:accPr>
                                  <m:chr m:val="̇"/>
                                  <m:ctrlPr>
                                    <w:rPr>
                                      <w:rFonts w:ascii="Cambria Math" w:eastAsiaTheme="minorEastAsia" w:hAnsi="Cambria Math"/>
                                      <w:i/>
                                      <w:iCs/>
                                      <w:color w:val="000000" w:themeColor="text1"/>
                                      <w:kern w:val="24"/>
                                      <w:sz w:val="24"/>
                                      <w:szCs w:val="36"/>
                                    </w:rPr>
                                  </m:ctrlPr>
                                </m:accPr>
                                <m:e>
                                  <m:sSub>
                                    <m:sSubPr>
                                      <m:ctrlPr>
                                        <w:rPr>
                                          <w:rFonts w:ascii="Cambria Math" w:hAnsi="Cambria Math"/>
                                          <w:i/>
                                          <w:color w:val="000000" w:themeColor="text1"/>
                                          <w:kern w:val="24"/>
                                          <w:sz w:val="24"/>
                                          <w:szCs w:val="36"/>
                                        </w:rPr>
                                      </m:ctrlPr>
                                    </m:sSubPr>
                                    <m:e>
                                      <m:r>
                                        <w:rPr>
                                          <w:rFonts w:ascii="Cambria Math" w:hAnsi="Cambria Math"/>
                                          <w:color w:val="000000" w:themeColor="text1"/>
                                          <w:kern w:val="24"/>
                                          <w:sz w:val="24"/>
                                          <w:szCs w:val="36"/>
                                        </w:rPr>
                                        <m:t>a</m:t>
                                      </m:r>
                                    </m:e>
                                    <m:sub>
                                      <m:r>
                                        <w:rPr>
                                          <w:rFonts w:ascii="Cambria Math" w:hAnsi="Cambria Math"/>
                                          <w:color w:val="000000" w:themeColor="text1"/>
                                          <w:kern w:val="24"/>
                                          <w:sz w:val="24"/>
                                          <w:szCs w:val="36"/>
                                        </w:rPr>
                                        <m:t>norm</m:t>
                                      </m:r>
                                    </m:sub>
                                  </m:sSub>
                                </m:e>
                              </m:acc>
                            </m:e>
                            <m:sup>
                              <m:r>
                                <w:rPr>
                                  <w:rFonts w:ascii="Cambria Math" w:hAnsi="Cambria Math"/>
                                  <w:color w:val="000000" w:themeColor="text1"/>
                                  <w:kern w:val="24"/>
                                  <w:sz w:val="24"/>
                                  <w:szCs w:val="36"/>
                                </w:rPr>
                                <m:t>T</m:t>
                              </m:r>
                            </m:sup>
                          </m:sSup>
                          <m:sSub>
                            <m:sSubPr>
                              <m:ctrlPr>
                                <w:rPr>
                                  <w:rFonts w:ascii="Cambria Math" w:hAnsi="Cambria Math"/>
                                  <w:i/>
                                  <w:color w:val="000000" w:themeColor="text1"/>
                                  <w:kern w:val="24"/>
                                  <w:sz w:val="24"/>
                                  <w:szCs w:val="36"/>
                                </w:rPr>
                              </m:ctrlPr>
                            </m:sSubPr>
                            <m:e>
                              <m:r>
                                <w:rPr>
                                  <w:rFonts w:ascii="Cambria Math" w:hAnsi="Cambria Math"/>
                                  <w:color w:val="000000" w:themeColor="text1"/>
                                  <w:kern w:val="24"/>
                                  <w:sz w:val="24"/>
                                  <w:szCs w:val="36"/>
                                </w:rPr>
                                <m:t>a</m:t>
                              </m:r>
                            </m:e>
                            <m:sub>
                              <m:r>
                                <w:rPr>
                                  <w:rFonts w:ascii="Cambria Math" w:hAnsi="Cambria Math"/>
                                  <w:color w:val="000000" w:themeColor="text1"/>
                                  <w:kern w:val="24"/>
                                  <w:sz w:val="24"/>
                                  <w:szCs w:val="36"/>
                                </w:rPr>
                                <m:t>norm</m:t>
                              </m:r>
                            </m:sub>
                          </m:sSub>
                        </m:e>
                      </m:d>
                    </m:e>
                    <m:sup>
                      <m:r>
                        <w:rPr>
                          <w:rFonts w:ascii="Cambria Math" w:hAnsi="Cambria Math"/>
                          <w:color w:val="000000" w:themeColor="text1"/>
                          <w:kern w:val="24"/>
                          <w:sz w:val="24"/>
                          <w:szCs w:val="36"/>
                        </w:rPr>
                        <m:t>2</m:t>
                      </m:r>
                    </m:sup>
                  </m:sSup>
                </m:num>
                <m:den>
                  <m:sSup>
                    <m:sSupPr>
                      <m:ctrlPr>
                        <w:rPr>
                          <w:rFonts w:ascii="Cambria Math" w:eastAsiaTheme="minorEastAsia" w:hAnsi="Cambria Math"/>
                          <w:i/>
                          <w:iCs/>
                          <w:color w:val="000000" w:themeColor="text1"/>
                          <w:kern w:val="24"/>
                          <w:sz w:val="24"/>
                          <w:szCs w:val="36"/>
                          <w:lang w:val="en-GB"/>
                        </w:rPr>
                      </m:ctrlPr>
                    </m:sSupPr>
                    <m:e>
                      <m:d>
                        <m:dPr>
                          <m:begChr m:val="‖"/>
                          <m:endChr m:val="‖"/>
                          <m:ctrlPr>
                            <w:rPr>
                              <w:rFonts w:ascii="Cambria Math" w:eastAsiaTheme="minorEastAsia" w:hAnsi="Cambria Math"/>
                              <w:i/>
                              <w:iCs/>
                              <w:color w:val="000000" w:themeColor="text1"/>
                              <w:kern w:val="24"/>
                              <w:sz w:val="24"/>
                              <w:szCs w:val="36"/>
                              <w:lang w:val="en-GB"/>
                            </w:rPr>
                          </m:ctrlPr>
                        </m:dPr>
                        <m:e>
                          <m:sSub>
                            <m:sSubPr>
                              <m:ctrlPr>
                                <w:rPr>
                                  <w:rFonts w:ascii="Cambria Math" w:hAnsi="Cambria Math"/>
                                  <w:i/>
                                  <w:color w:val="000000" w:themeColor="text1"/>
                                  <w:kern w:val="24"/>
                                  <w:sz w:val="24"/>
                                  <w:szCs w:val="36"/>
                                </w:rPr>
                              </m:ctrlPr>
                            </m:sSubPr>
                            <m:e>
                              <m:r>
                                <w:rPr>
                                  <w:rFonts w:ascii="Cambria Math" w:hAnsi="Cambria Math"/>
                                  <w:color w:val="000000" w:themeColor="text1"/>
                                  <w:kern w:val="24"/>
                                  <w:sz w:val="24"/>
                                  <w:szCs w:val="36"/>
                                </w:rPr>
                                <m:t>a</m:t>
                              </m:r>
                            </m:e>
                            <m:sub>
                              <m:r>
                                <w:rPr>
                                  <w:rFonts w:ascii="Cambria Math" w:hAnsi="Cambria Math"/>
                                  <w:color w:val="000000" w:themeColor="text1"/>
                                  <w:kern w:val="24"/>
                                  <w:sz w:val="24"/>
                                  <w:szCs w:val="36"/>
                                </w:rPr>
                                <m:t>norm</m:t>
                              </m:r>
                            </m:sub>
                          </m:sSub>
                        </m:e>
                      </m:d>
                    </m:e>
                    <m:sup>
                      <m:r>
                        <w:rPr>
                          <w:rFonts w:ascii="Cambria Math" w:hAnsi="Cambria Math"/>
                          <w:color w:val="000000" w:themeColor="text1"/>
                          <w:kern w:val="24"/>
                          <w:sz w:val="24"/>
                          <w:szCs w:val="36"/>
                        </w:rPr>
                        <m:t>2</m:t>
                      </m:r>
                    </m:sup>
                  </m:sSup>
                </m:den>
              </m:f>
            </m:den>
          </m:f>
        </m:oMath>
      </m:oMathPara>
    </w:p>
    <w:p w14:paraId="2406D6BC" w14:textId="00B40B5B" w:rsidR="00123BD6" w:rsidRPr="00123BD6" w:rsidRDefault="00123BD6" w:rsidP="00123BD6">
      <w:pPr>
        <w:rPr>
          <w:sz w:val="24"/>
        </w:rPr>
      </w:pPr>
      <m:oMathPara>
        <m:oMath>
          <m:sSub>
            <m:sSubPr>
              <m:ctrlPr>
                <w:rPr>
                  <w:rFonts w:ascii="Cambria Math" w:hAnsi="Cambria Math"/>
                  <w:i/>
                  <w:iCs/>
                  <w:color w:val="000000" w:themeColor="text1"/>
                  <w:kern w:val="24"/>
                  <w:sz w:val="24"/>
                  <w:szCs w:val="36"/>
                  <w:lang w:val="en-GB"/>
                </w:rPr>
              </m:ctrlPr>
            </m:sSubPr>
            <m:e>
              <m:r>
                <w:rPr>
                  <w:rFonts w:ascii="Cambria Math" w:hAnsi="Cambria Math"/>
                  <w:color w:val="000000" w:themeColor="text1"/>
                  <w:kern w:val="24"/>
                  <w:sz w:val="24"/>
                  <w:szCs w:val="36"/>
                  <w:lang w:val="en-GB"/>
                </w:rPr>
                <m:t>BCR</m:t>
              </m:r>
            </m:e>
            <m:sub>
              <m:r>
                <m:rPr>
                  <m:sty m:val="p"/>
                </m:rPr>
                <w:rPr>
                  <w:rFonts w:ascii="Cambria Math" w:hAnsi="Cambria Math"/>
                </w:rPr>
                <m:t>Ψ</m:t>
              </m:r>
            </m:sub>
          </m:sSub>
          <m:r>
            <w:rPr>
              <w:rFonts w:ascii="Cambria Math" w:hAnsi="Cambria Math"/>
              <w:color w:val="000000" w:themeColor="text1"/>
              <w:kern w:val="24"/>
              <w:sz w:val="24"/>
              <w:szCs w:val="36"/>
              <w:lang w:val="en-GB"/>
            </w:rPr>
            <m:t>=</m:t>
          </m:r>
          <m:limLow>
            <m:limLowPr>
              <m:ctrlPr>
                <w:rPr>
                  <w:rFonts w:ascii="Cambria Math" w:hAnsi="Cambria Math"/>
                  <w:i/>
                  <w:sz w:val="24"/>
                </w:rPr>
              </m:ctrlPr>
            </m:limLowPr>
            <m:e>
              <m:r>
                <m:rPr>
                  <m:sty m:val="p"/>
                </m:rPr>
                <w:rPr>
                  <w:rFonts w:ascii="Cambria Math" w:hAnsi="Cambria Math"/>
                  <w:sz w:val="24"/>
                </w:rPr>
                <m:t>max</m:t>
              </m:r>
            </m:e>
            <m:lim>
              <m:d>
                <m:dPr>
                  <m:ctrlPr>
                    <w:rPr>
                      <w:rFonts w:ascii="Cambria Math" w:hAnsi="Cambria Math"/>
                      <w:i/>
                      <w:sz w:val="24"/>
                    </w:rPr>
                  </m:ctrlPr>
                </m:dPr>
                <m:e>
                  <m:r>
                    <w:rPr>
                      <w:rFonts w:ascii="Cambria Math" w:hAnsi="Cambria Math"/>
                      <w:sz w:val="24"/>
                    </w:rPr>
                    <m:t>θ, φ</m:t>
                  </m:r>
                </m:e>
              </m:d>
              <m:r>
                <w:rPr>
                  <w:rFonts w:ascii="Cambria Math" w:hAnsi="Cambria Math"/>
                  <w:sz w:val="24"/>
                </w:rPr>
                <m:t>∈ZGII</m:t>
              </m:r>
            </m:lim>
          </m:limLow>
          <m:d>
            <m:dPr>
              <m:begChr m:val="["/>
              <m:endChr m:val="]"/>
              <m:ctrlPr>
                <w:rPr>
                  <w:rFonts w:ascii="Cambria Math" w:hAnsi="Cambria Math"/>
                  <w:i/>
                  <w:sz w:val="24"/>
                </w:rPr>
              </m:ctrlPr>
            </m:dPr>
            <m:e>
              <m:rad>
                <m:radPr>
                  <m:degHide m:val="1"/>
                  <m:ctrlPr>
                    <w:rPr>
                      <w:rFonts w:ascii="Cambria Math" w:hAnsi="Cambria Math"/>
                      <w:i/>
                      <w:iCs/>
                      <w:color w:val="000000" w:themeColor="text1"/>
                      <w:kern w:val="24"/>
                      <w:sz w:val="24"/>
                      <w:szCs w:val="36"/>
                      <w:lang w:val="en-GB"/>
                    </w:rPr>
                  </m:ctrlPr>
                </m:radPr>
                <m:deg/>
                <m:e>
                  <m:sSubSup>
                    <m:sSubSupPr>
                      <m:ctrlPr>
                        <w:rPr>
                          <w:rFonts w:ascii="Cambria Math" w:eastAsiaTheme="minorEastAsia" w:hAnsi="Cambria Math"/>
                          <w:i/>
                          <w:iCs/>
                          <w:color w:val="000000" w:themeColor="text1"/>
                          <w:kern w:val="24"/>
                          <w:sz w:val="24"/>
                          <w:szCs w:val="36"/>
                          <w:lang w:val="en-GB"/>
                        </w:rPr>
                      </m:ctrlPr>
                    </m:sSubSupPr>
                    <m:e>
                      <m:r>
                        <w:rPr>
                          <w:rFonts w:ascii="Cambria Math" w:hAnsi="Cambria Math"/>
                          <w:color w:val="000000" w:themeColor="text1"/>
                          <w:kern w:val="24"/>
                          <w:sz w:val="24"/>
                          <w:szCs w:val="36"/>
                          <w:lang w:val="el-GR"/>
                        </w:rPr>
                        <m:t>σ</m:t>
                      </m:r>
                    </m:e>
                    <m:sub>
                      <m:r>
                        <w:rPr>
                          <w:rFonts w:ascii="Cambria Math" w:hAnsi="Cambria Math"/>
                          <w:color w:val="000000" w:themeColor="text1"/>
                          <w:kern w:val="24"/>
                          <w:sz w:val="24"/>
                          <w:szCs w:val="36"/>
                        </w:rPr>
                        <m:t>α</m:t>
                      </m:r>
                    </m:sub>
                    <m:sup>
                      <m:r>
                        <w:rPr>
                          <w:rFonts w:ascii="Cambria Math" w:hAnsi="Cambria Math"/>
                          <w:color w:val="000000" w:themeColor="text1"/>
                          <w:kern w:val="24"/>
                          <w:sz w:val="24"/>
                          <w:szCs w:val="36"/>
                        </w:rPr>
                        <m:t>2</m:t>
                      </m:r>
                    </m:sup>
                  </m:sSubSup>
                </m:e>
              </m:rad>
            </m:e>
          </m:d>
        </m:oMath>
      </m:oMathPara>
    </w:p>
    <w:p w14:paraId="1948B423" w14:textId="5D441ED4" w:rsidR="00123BD6" w:rsidRPr="00123BD6" w:rsidRDefault="00123BD6" w:rsidP="00F54830">
      <w:pPr>
        <w:jc w:val="both"/>
        <w:rPr>
          <w:rFonts w:cstheme="minorHAnsi"/>
        </w:rPr>
      </w:pPr>
      <w:r w:rsidRPr="00123BD6">
        <w:rPr>
          <w:rFonts w:cstheme="minorHAnsi"/>
        </w:rPr>
        <w:t xml:space="preserve">Où K est le nombre de </w:t>
      </w:r>
      <w:r>
        <w:rPr>
          <w:rFonts w:cstheme="minorHAnsi"/>
        </w:rPr>
        <w:t>mesures, SNR</w:t>
      </w:r>
      <w:r w:rsidRPr="00123BD6">
        <w:rPr>
          <w:rFonts w:cstheme="minorHAnsi"/>
        </w:rPr>
        <w:t xml:space="preserve"> le rapport signal à bruit</w:t>
      </w:r>
      <w:r>
        <w:rPr>
          <w:rFonts w:cstheme="minorHAnsi"/>
        </w:rPr>
        <w:t xml:space="preserve">, </w:t>
      </w:r>
      <w:r w:rsidRPr="00123BD6">
        <w:rPr>
          <w:rFonts w:ascii="Cambria Math" w:hAnsi="Cambria Math" w:cs="Cambria Math"/>
        </w:rPr>
        <w:t>𝛹</w:t>
      </w:r>
      <w:r w:rsidRPr="00123BD6">
        <w:rPr>
          <w:rFonts w:cstheme="minorHAnsi"/>
        </w:rPr>
        <w:t xml:space="preserve"> est la dimension angulaire considérée (gisement ou élévation)</w:t>
      </w:r>
      <w:r>
        <w:rPr>
          <w:rFonts w:cstheme="minorHAnsi"/>
        </w:rPr>
        <w:t xml:space="preserve">, </w:t>
      </w:r>
      <w:r w:rsidR="009D2C74">
        <w:rPr>
          <w:rFonts w:cstheme="minorHAnsi"/>
        </w:rPr>
        <w:t xml:space="preserve">ZGII la zone angulaire d’intérêt, </w:t>
      </w:r>
      <w:r w:rsidRPr="00123BD6">
        <w:rPr>
          <w:rFonts w:cstheme="minorHAnsi"/>
        </w:rPr>
        <w:t>T l’opérateur transposé, H l’opérateur trans-conjugué</w:t>
      </w:r>
      <w:r>
        <w:rPr>
          <w:rFonts w:cstheme="minorHAnsi"/>
        </w:rPr>
        <w:t xml:space="preserve"> et </w:t>
      </w:r>
      <m:oMath>
        <m:acc>
          <m:accPr>
            <m:chr m:val="̇"/>
            <m:ctrlPr>
              <w:rPr>
                <w:rFonts w:ascii="Cambria Math" w:eastAsiaTheme="minorEastAsia" w:hAnsi="Cambria Math" w:cstheme="minorHAnsi"/>
                <w:i/>
                <w:iCs/>
                <w:color w:val="000000" w:themeColor="text1"/>
                <w:kern w:val="24"/>
                <w:sz w:val="24"/>
                <w:szCs w:val="36"/>
                <w:lang w:val="en-GB"/>
              </w:rPr>
            </m:ctrlPr>
          </m:accPr>
          <m:e>
            <m:sSub>
              <m:sSubPr>
                <m:ctrlPr>
                  <w:rPr>
                    <w:rFonts w:ascii="Cambria Math" w:hAnsi="Cambria Math" w:cstheme="minorHAnsi"/>
                    <w:i/>
                    <w:color w:val="000000" w:themeColor="text1"/>
                    <w:kern w:val="24"/>
                    <w:sz w:val="24"/>
                    <w:szCs w:val="36"/>
                  </w:rPr>
                </m:ctrlPr>
              </m:sSubPr>
              <m:e>
                <m:r>
                  <w:rPr>
                    <w:rFonts w:ascii="Cambria Math" w:hAnsi="Cambria Math" w:cstheme="minorHAnsi"/>
                    <w:color w:val="000000" w:themeColor="text1"/>
                    <w:kern w:val="24"/>
                    <w:sz w:val="24"/>
                    <w:szCs w:val="36"/>
                  </w:rPr>
                  <m:t>a</m:t>
                </m:r>
              </m:e>
              <m:sub>
                <m:r>
                  <w:rPr>
                    <w:rFonts w:ascii="Cambria Math" w:hAnsi="Cambria Math" w:cstheme="minorHAnsi"/>
                    <w:color w:val="000000" w:themeColor="text1"/>
                    <w:kern w:val="24"/>
                    <w:sz w:val="24"/>
                    <w:szCs w:val="36"/>
                  </w:rPr>
                  <m:t>norm</m:t>
                </m:r>
              </m:sub>
            </m:sSub>
          </m:e>
        </m:acc>
        <m:r>
          <w:rPr>
            <w:rFonts w:ascii="Cambria Math" w:eastAsiaTheme="minorEastAsia" w:hAnsi="Cambria Math" w:cstheme="minorHAnsi"/>
            <w:color w:val="000000" w:themeColor="text1"/>
            <w:kern w:val="24"/>
            <w:sz w:val="24"/>
            <w:szCs w:val="36"/>
          </w:rPr>
          <m:t xml:space="preserve"> </m:t>
        </m:r>
      </m:oMath>
      <w:r w:rsidRPr="00123BD6">
        <w:rPr>
          <w:rFonts w:cstheme="minorHAnsi"/>
        </w:rPr>
        <w:t xml:space="preserve">est la dérivée partielle de </w:t>
      </w:r>
      <m:oMath>
        <m:sSub>
          <m:sSubPr>
            <m:ctrlPr>
              <w:rPr>
                <w:rFonts w:ascii="Cambria Math" w:eastAsiaTheme="minorEastAsia" w:hAnsi="Cambria Math" w:cstheme="minorHAnsi"/>
                <w:i/>
                <w:iCs/>
                <w:color w:val="000000" w:themeColor="text1"/>
                <w:kern w:val="24"/>
                <w:sz w:val="24"/>
                <w:szCs w:val="36"/>
              </w:rPr>
            </m:ctrlPr>
          </m:sSubPr>
          <m:e>
            <m:r>
              <w:rPr>
                <w:rFonts w:ascii="Cambria Math" w:eastAsiaTheme="minorEastAsia" w:hAnsi="Cambria Math" w:cstheme="minorHAnsi"/>
                <w:color w:val="000000" w:themeColor="text1"/>
                <w:kern w:val="24"/>
                <w:sz w:val="24"/>
                <w:szCs w:val="36"/>
              </w:rPr>
              <m:t>a</m:t>
            </m:r>
          </m:e>
          <m:sub>
            <m:r>
              <w:rPr>
                <w:rFonts w:ascii="Cambria Math" w:eastAsiaTheme="minorEastAsia" w:hAnsi="Cambria Math" w:cstheme="minorHAnsi"/>
                <w:color w:val="000000" w:themeColor="text1"/>
                <w:kern w:val="24"/>
                <w:sz w:val="24"/>
                <w:szCs w:val="36"/>
              </w:rPr>
              <m:t>norm</m:t>
            </m:r>
          </m:sub>
        </m:sSub>
      </m:oMath>
      <w:r w:rsidRPr="00123BD6">
        <w:rPr>
          <w:rFonts w:cstheme="minorHAnsi"/>
        </w:rPr>
        <w:t xml:space="preserve"> par rapport à l’angle </w:t>
      </w:r>
      <w:r w:rsidRPr="00123BD6">
        <w:rPr>
          <w:rFonts w:ascii="Cambria Math" w:hAnsi="Cambria Math" w:cs="Cambria Math"/>
        </w:rPr>
        <w:t>𝛹</w:t>
      </w:r>
      <w:r>
        <w:rPr>
          <w:rFonts w:cstheme="minorHAnsi"/>
        </w:rPr>
        <w:t>, avec</w:t>
      </w:r>
    </w:p>
    <w:p w14:paraId="1533646E" w14:textId="77777777" w:rsidR="00123BD6" w:rsidRPr="006267A6" w:rsidRDefault="00123BD6" w:rsidP="00F54830">
      <w:pPr>
        <w:jc w:val="both"/>
        <w:rPr>
          <w:rFonts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norm</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num>
            <m:den>
              <m:rad>
                <m:radPr>
                  <m:degHide m:val="1"/>
                  <m:ctrlPr>
                    <w:rPr>
                      <w:rFonts w:ascii="Cambria Math" w:hAnsi="Cambria Math" w:cstheme="minorHAnsi"/>
                      <w:i/>
                    </w:rPr>
                  </m:ctrlPr>
                </m:radPr>
                <m:deg/>
                <m:e>
                  <m:d>
                    <m:dPr>
                      <m:begChr m:val="‖"/>
                      <m:endChr m:val="‖"/>
                      <m:ctrlPr>
                        <w:rPr>
                          <w:rFonts w:ascii="Cambria Math" w:hAnsi="Cambria Math" w:cstheme="minorHAnsi"/>
                          <w:i/>
                        </w:rPr>
                      </m:ctrlPr>
                    </m:dPr>
                    <m:e>
                      <m:r>
                        <w:rPr>
                          <w:rFonts w:ascii="Cambria Math" w:hAnsi="Cambria Math" w:cstheme="minorHAnsi"/>
                        </w:rPr>
                        <m:t>a</m:t>
                      </m:r>
                    </m:e>
                  </m:d>
                </m:e>
              </m:rad>
            </m:den>
          </m:f>
        </m:oMath>
      </m:oMathPara>
    </w:p>
    <w:p w14:paraId="0A38B1E1" w14:textId="5A4FAA24" w:rsidR="006267A6" w:rsidRDefault="006267A6" w:rsidP="00F54830">
      <w:pPr>
        <w:jc w:val="both"/>
        <w:rPr>
          <w:rFonts w:ascii="Calibri" w:eastAsia="Calibri" w:hAnsi="Calibri" w:cs="Calibri"/>
          <w:color w:val="000000" w:themeColor="text1"/>
        </w:rPr>
      </w:pPr>
      <w:r>
        <w:rPr>
          <w:rFonts w:cstheme="minorHAnsi"/>
        </w:rPr>
        <w:t xml:space="preserve">La distance angulaire </w:t>
      </w:r>
      <w:r>
        <w:rPr>
          <w:rFonts w:ascii="Calibri" w:eastAsia="Calibri" w:hAnsi="Calibri" w:cs="Calibri"/>
          <w:color w:val="000000" w:themeColor="text1"/>
        </w:rPr>
        <w:t>α</w:t>
      </w:r>
      <w:r>
        <w:rPr>
          <w:rFonts w:ascii="Calibri" w:eastAsia="Calibri" w:hAnsi="Calibri" w:cs="Calibri"/>
          <w:color w:val="000000" w:themeColor="text1"/>
        </w:rPr>
        <w:t xml:space="preserve"> peut s’exprimer comme la distance entre le tir de goniométrie exacte et la réponse estimée du goniomètre, tel que</w:t>
      </w:r>
    </w:p>
    <w:p w14:paraId="74BAC2BC" w14:textId="77777777" w:rsidR="006267A6" w:rsidRPr="00E265ED" w:rsidRDefault="006267A6" w:rsidP="00F54830">
      <w:pPr>
        <w:pStyle w:val="NormalWeb"/>
        <w:spacing w:before="0" w:beforeAutospacing="0" w:after="0" w:afterAutospacing="0"/>
        <w:rPr>
          <w:iCs/>
          <w:color w:val="000000" w:themeColor="text1"/>
          <w:kern w:val="24"/>
        </w:rPr>
      </w:pPr>
      <m:oMathPara>
        <m:oMathParaPr>
          <m:jc m:val="centerGroup"/>
        </m:oMathParaPr>
        <m:oMath>
          <m:r>
            <w:rPr>
              <w:rFonts w:ascii="Cambria Math" w:eastAsiaTheme="minorEastAsia" w:hAnsi="Cambria Math" w:cstheme="minorBidi"/>
              <w:color w:val="000000" w:themeColor="text1"/>
              <w:kern w:val="24"/>
              <w:lang w:val="el-GR"/>
            </w:rPr>
            <m:t>α</m:t>
          </m:r>
          <m:r>
            <w:rPr>
              <w:rFonts w:ascii="Cambria Math" w:hAnsi="Cambria Math" w:cstheme="minorBidi"/>
              <w:color w:val="000000" w:themeColor="text1"/>
              <w:kern w:val="24"/>
            </w:rPr>
            <m:t>=arccos⁡(</m:t>
          </m:r>
          <m:acc>
            <m:accPr>
              <m:chr m:val="⃗"/>
              <m:ctrlPr>
                <w:rPr>
                  <w:rFonts w:ascii="Cambria Math" w:eastAsiaTheme="minorEastAsia" w:hAnsi="Cambria Math" w:cstheme="minorBidi"/>
                  <w:i/>
                  <w:iCs/>
                  <w:color w:val="000000" w:themeColor="text1"/>
                  <w:kern w:val="24"/>
                </w:rPr>
              </m:ctrlPr>
            </m:accPr>
            <m:e>
              <m:r>
                <w:rPr>
                  <w:rFonts w:ascii="Cambria Math" w:hAnsi="Cambria Math" w:cstheme="minorBidi"/>
                  <w:color w:val="000000" w:themeColor="text1"/>
                  <w:kern w:val="24"/>
                </w:rPr>
                <m:t>T</m:t>
              </m:r>
            </m:e>
          </m:acc>
          <m:r>
            <w:rPr>
              <w:rFonts w:ascii="Cambria Math" w:hAnsi="Cambria Math" w:cstheme="minorBidi"/>
              <w:color w:val="000000" w:themeColor="text1"/>
              <w:kern w:val="24"/>
            </w:rPr>
            <m:t>.</m:t>
          </m:r>
          <m:acc>
            <m:accPr>
              <m:chr m:val="⃗"/>
              <m:ctrlPr>
                <w:rPr>
                  <w:rFonts w:ascii="Cambria Math" w:eastAsiaTheme="minorEastAsia" w:hAnsi="Cambria Math" w:cstheme="minorBidi"/>
                  <w:i/>
                  <w:iCs/>
                  <w:color w:val="000000" w:themeColor="text1"/>
                  <w:kern w:val="24"/>
                </w:rPr>
              </m:ctrlPr>
            </m:accPr>
            <m:e>
              <m:r>
                <w:rPr>
                  <w:rFonts w:ascii="Cambria Math" w:eastAsiaTheme="minorEastAsia" w:hAnsi="Cambria Math" w:cstheme="minorBidi"/>
                  <w:color w:val="000000" w:themeColor="text1"/>
                  <w:kern w:val="24"/>
                </w:rPr>
                <m:t>G</m:t>
              </m:r>
            </m:e>
          </m:acc>
          <m:r>
            <w:rPr>
              <w:rFonts w:ascii="Cambria Math" w:hAnsi="Cambria Math" w:cstheme="minorBidi"/>
              <w:color w:val="000000" w:themeColor="text1"/>
              <w:kern w:val="24"/>
            </w:rPr>
            <m:t>)</m:t>
          </m:r>
        </m:oMath>
      </m:oMathPara>
    </w:p>
    <w:p w14:paraId="3DB590C7" w14:textId="0F67B1A7" w:rsidR="006267A6" w:rsidRDefault="006267A6" w:rsidP="00F54830">
      <w:pPr>
        <w:jc w:val="both"/>
        <w:rPr>
          <w:rFonts w:cs="Arial"/>
        </w:rPr>
      </w:pPr>
      <w:r w:rsidRPr="00E265ED">
        <w:rPr>
          <w:rFonts w:cs="Arial"/>
        </w:rPr>
        <w:t xml:space="preserve">Où </w:t>
      </w:r>
      <m:oMath>
        <m:acc>
          <m:accPr>
            <m:chr m:val="⃗"/>
            <m:ctrlPr>
              <w:rPr>
                <w:rFonts w:ascii="Cambria Math" w:hAnsi="Cambria Math" w:cs="Arial"/>
              </w:rPr>
            </m:ctrlPr>
          </m:accPr>
          <m:e>
            <m:r>
              <w:rPr>
                <w:rFonts w:ascii="Cambria Math" w:hAnsi="Cambria Math" w:cs="Arial"/>
              </w:rPr>
              <m:t>T</m:t>
            </m:r>
          </m:e>
        </m:acc>
      </m:oMath>
      <w:r w:rsidRPr="00E265ED">
        <w:rPr>
          <w:rFonts w:cs="Arial"/>
        </w:rPr>
        <w:t xml:space="preserve"> est le vecteur </w:t>
      </w:r>
      <w:r>
        <w:rPr>
          <w:rFonts w:cs="Arial"/>
        </w:rPr>
        <w:t xml:space="preserve">unitaire </w:t>
      </w:r>
      <w:r w:rsidRPr="00E265ED">
        <w:rPr>
          <w:rFonts w:cs="Arial"/>
        </w:rPr>
        <w:t>porté par le tir de goniométrie exact</w:t>
      </w:r>
      <w:r>
        <w:rPr>
          <w:rFonts w:cs="Arial"/>
        </w:rPr>
        <w:t xml:space="preserve">, </w:t>
      </w:r>
      <m:oMath>
        <m:acc>
          <m:accPr>
            <m:chr m:val="⃗"/>
            <m:ctrlPr>
              <w:rPr>
                <w:rFonts w:ascii="Cambria Math" w:hAnsi="Cambria Math" w:cs="Arial"/>
              </w:rPr>
            </m:ctrlPr>
          </m:accPr>
          <m:e>
            <m:r>
              <w:rPr>
                <w:rFonts w:ascii="Cambria Math" w:hAnsi="Cambria Math" w:cs="Arial"/>
              </w:rPr>
              <m:t>G</m:t>
            </m:r>
          </m:e>
        </m:acc>
      </m:oMath>
      <w:r w:rsidRPr="00E265ED">
        <w:rPr>
          <w:rFonts w:cs="Arial"/>
        </w:rPr>
        <w:t xml:space="preserve"> est le vecteur </w:t>
      </w:r>
      <w:r>
        <w:rPr>
          <w:rFonts w:cs="Arial"/>
        </w:rPr>
        <w:t xml:space="preserve">unitaire </w:t>
      </w:r>
      <w:r w:rsidRPr="00E265ED">
        <w:rPr>
          <w:rFonts w:cs="Arial"/>
        </w:rPr>
        <w:t xml:space="preserve">porté par </w:t>
      </w:r>
      <w:r>
        <w:rPr>
          <w:rFonts w:cs="Arial"/>
        </w:rPr>
        <w:t>la direction estimée par le goniomètre</w:t>
      </w:r>
      <w:r>
        <w:rPr>
          <w:rFonts w:cs="Arial"/>
        </w:rPr>
        <w:t xml:space="preserve">, </w:t>
      </w:r>
      <m:oMath>
        <m:acc>
          <m:accPr>
            <m:chr m:val="⃗"/>
            <m:ctrlPr>
              <w:rPr>
                <w:rFonts w:ascii="Cambria Math" w:hAnsi="Cambria Math" w:cs="Arial"/>
              </w:rPr>
            </m:ctrlPr>
          </m:accPr>
          <m:e>
            <m:r>
              <w:rPr>
                <w:rFonts w:ascii="Cambria Math" w:hAnsi="Cambria Math" w:cs="Arial"/>
              </w:rPr>
              <m:t>T</m:t>
            </m:r>
          </m:e>
        </m:acc>
        <m:r>
          <m:rPr>
            <m:sty m:val="p"/>
          </m:rPr>
          <w:rPr>
            <w:rFonts w:ascii="Cambria Math" w:hAnsi="Cambria Math" w:cs="Arial"/>
          </w:rPr>
          <m:t>.</m:t>
        </m:r>
        <m:acc>
          <m:accPr>
            <m:chr m:val="⃗"/>
            <m:ctrlPr>
              <w:rPr>
                <w:rFonts w:ascii="Cambria Math" w:hAnsi="Cambria Math" w:cs="Arial"/>
              </w:rPr>
            </m:ctrlPr>
          </m:accPr>
          <m:e>
            <m:r>
              <w:rPr>
                <w:rFonts w:ascii="Cambria Math" w:hAnsi="Cambria Math" w:cs="Arial"/>
              </w:rPr>
              <m:t>G</m:t>
            </m:r>
          </m:e>
        </m:acc>
      </m:oMath>
      <w:r w:rsidRPr="00E265ED">
        <w:rPr>
          <w:rFonts w:cs="Arial"/>
        </w:rPr>
        <w:t xml:space="preserve"> désigne le produit scalaire des vecteur </w:t>
      </w:r>
      <m:oMath>
        <m:acc>
          <m:accPr>
            <m:chr m:val="⃗"/>
            <m:ctrlPr>
              <w:rPr>
                <w:rFonts w:ascii="Cambria Math" w:hAnsi="Cambria Math" w:cs="Arial"/>
              </w:rPr>
            </m:ctrlPr>
          </m:accPr>
          <m:e>
            <m:r>
              <w:rPr>
                <w:rFonts w:ascii="Cambria Math" w:hAnsi="Cambria Math" w:cs="Arial"/>
              </w:rPr>
              <m:t>T</m:t>
            </m:r>
          </m:e>
        </m:acc>
      </m:oMath>
      <w:r>
        <w:rPr>
          <w:rFonts w:cs="Arial"/>
        </w:rPr>
        <w:t xml:space="preserve"> et </w:t>
      </w:r>
      <m:oMath>
        <m:acc>
          <m:accPr>
            <m:chr m:val="⃗"/>
            <m:ctrlPr>
              <w:rPr>
                <w:rFonts w:ascii="Cambria Math" w:hAnsi="Cambria Math" w:cs="Arial"/>
              </w:rPr>
            </m:ctrlPr>
          </m:accPr>
          <m:e>
            <m:r>
              <w:rPr>
                <w:rFonts w:ascii="Cambria Math" w:hAnsi="Cambria Math" w:cs="Arial"/>
              </w:rPr>
              <m:t>G</m:t>
            </m:r>
          </m:e>
        </m:acc>
      </m:oMath>
      <w:r>
        <w:rPr>
          <w:rFonts w:cs="Arial"/>
        </w:rPr>
        <w:t>.</w:t>
      </w:r>
    </w:p>
    <w:p w14:paraId="797FEB32" w14:textId="18170772" w:rsidR="006267A6" w:rsidRPr="00565E59" w:rsidRDefault="006267A6" w:rsidP="00F54830">
      <w:pPr>
        <w:jc w:val="both"/>
        <w:rPr>
          <w:rFonts w:cs="Arial"/>
        </w:rPr>
      </w:pPr>
      <w:r w:rsidRPr="00565E59">
        <w:rPr>
          <w:rFonts w:cs="Arial"/>
        </w:rPr>
        <w:t>Par projection en coordonnées cartésiennes</w:t>
      </w:r>
      <w:r>
        <w:rPr>
          <w:rFonts w:cs="Arial"/>
        </w:rPr>
        <w:t>, on a</w:t>
      </w:r>
      <w:r w:rsidRPr="00565E59">
        <w:rPr>
          <w:rFonts w:cs="Arial"/>
        </w:rPr>
        <w:t> :</w:t>
      </w:r>
    </w:p>
    <w:p w14:paraId="3B6ED340" w14:textId="51EF413A" w:rsidR="006267A6" w:rsidRPr="00565E59" w:rsidRDefault="006267A6" w:rsidP="00F54830">
      <w:pPr>
        <w:jc w:val="center"/>
        <w:rPr>
          <w:rFonts w:cs="Arial"/>
        </w:rPr>
      </w:pPr>
      <m:oMath>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T</m:t>
                  </m:r>
                </m:e>
                <m:sub>
                  <m:r>
                    <w:rPr>
                      <w:rFonts w:ascii="Cambria Math" w:hAnsi="Cambria Math" w:cs="Arial"/>
                    </w:rPr>
                    <m:t>x</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θ</m:t>
                      </m:r>
                    </m:e>
                  </m:d>
                </m:e>
              </m:func>
              <m:r>
                <w:rPr>
                  <w:rFonts w:ascii="Cambria Math" w:hAnsi="Cambria Math" w:cs="Arial"/>
                </w:rPr>
                <m:t>.cos</m:t>
              </m:r>
              <m:r>
                <m:rPr>
                  <m:sty m:val="p"/>
                </m:rPr>
                <w:rPr>
                  <w:rFonts w:ascii="Cambria Math" w:hAnsi="Cambria Math" w:cs="Arial"/>
                </w:rPr>
                <m:t>⁡</m:t>
              </m:r>
              <m:r>
                <w:rPr>
                  <w:rFonts w:ascii="Cambria Math" w:hAnsi="Cambria Math" w:cs="Arial"/>
                </w:rPr>
                <m:t>(φ)</m:t>
              </m:r>
            </m:e>
          </m:mr>
          <m:mr>
            <m:e>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θ</m:t>
                      </m:r>
                    </m:e>
                  </m:d>
                </m:e>
              </m:func>
              <m:r>
                <w:rPr>
                  <w:rFonts w:ascii="Cambria Math" w:hAnsi="Cambria Math" w:cs="Arial"/>
                </w:rPr>
                <m:t>.cos</m:t>
              </m:r>
              <m:r>
                <m:rPr>
                  <m:sty m:val="p"/>
                </m:rPr>
                <w:rPr>
                  <w:rFonts w:ascii="Cambria Math" w:hAnsi="Cambria Math" w:cs="Arial"/>
                </w:rPr>
                <m:t>⁡</m:t>
              </m:r>
              <m:r>
                <w:rPr>
                  <w:rFonts w:ascii="Cambria Math" w:hAnsi="Cambria Math" w:cs="Arial"/>
                </w:rPr>
                <m:t>(φ)</m:t>
              </m:r>
            </m:e>
          </m:mr>
          <m:mr>
            <m:e>
              <m:sSub>
                <m:sSubPr>
                  <m:ctrlPr>
                    <w:rPr>
                      <w:rFonts w:ascii="Cambria Math" w:hAnsi="Cambria Math" w:cs="Arial"/>
                      <w:i/>
                    </w:rPr>
                  </m:ctrlPr>
                </m:sSubPr>
                <m:e>
                  <m:r>
                    <w:rPr>
                      <w:rFonts w:ascii="Cambria Math" w:hAnsi="Cambria Math" w:cs="Arial"/>
                    </w:rPr>
                    <m:t>T</m:t>
                  </m:r>
                </m:e>
                <m:sub>
                  <m:r>
                    <w:rPr>
                      <w:rFonts w:ascii="Cambria Math" w:hAnsi="Cambria Math" w:cs="Arial"/>
                    </w:rPr>
                    <m:t>z</m:t>
                  </m:r>
                </m:sub>
              </m:sSub>
              <m:r>
                <w:rPr>
                  <w:rFonts w:ascii="Cambria Math" w:hAnsi="Cambria Math" w:cs="Arial"/>
                </w:rPr>
                <m:t>=</m:t>
              </m:r>
              <m:r>
                <m:rPr>
                  <m:sty m:val="p"/>
                </m:rPr>
                <w:rPr>
                  <w:rFonts w:ascii="Cambria Math" w:hAnsi="Cambria Math" w:cs="Arial"/>
                </w:rPr>
                <m:t>sin⁡</m:t>
              </m:r>
              <m:r>
                <w:rPr>
                  <w:rFonts w:ascii="Cambria Math" w:hAnsi="Cambria Math" w:cs="Arial"/>
                </w:rPr>
                <m:t>(φ)</m:t>
              </m:r>
            </m:e>
          </m:mr>
        </m:m>
      </m:oMath>
      <w:r w:rsidRPr="00565E59">
        <w:rPr>
          <w:rFonts w:cs="Arial"/>
        </w:rPr>
        <w:tab/>
      </w:r>
      <w:r w:rsidRPr="00565E59">
        <w:rPr>
          <w:rFonts w:cs="Arial"/>
        </w:rPr>
        <w:tab/>
      </w:r>
      <w:r w:rsidRPr="00565E59">
        <w:rPr>
          <w:rFonts w:cs="Arial"/>
        </w:rPr>
        <w:tab/>
      </w:r>
      <m:oMath>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G</m:t>
                  </m:r>
                </m:e>
                <m:sub>
                  <m:r>
                    <w:rPr>
                      <w:rFonts w:ascii="Cambria Math" w:hAnsi="Cambria Math" w:cs="Arial"/>
                    </w:rPr>
                    <m:t>x</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acc>
                        <m:accPr>
                          <m:ctrlPr>
                            <w:rPr>
                              <w:rFonts w:ascii="Cambria Math" w:hAnsi="Cambria Math" w:cs="Arial"/>
                              <w:i/>
                            </w:rPr>
                          </m:ctrlPr>
                        </m:accPr>
                        <m:e>
                          <m:r>
                            <w:rPr>
                              <w:rFonts w:ascii="Cambria Math" w:hAnsi="Cambria Math" w:cs="Arial"/>
                            </w:rPr>
                            <m:t>θ</m:t>
                          </m:r>
                        </m:e>
                      </m:acc>
                    </m:e>
                  </m:d>
                </m:e>
              </m:func>
              <m:r>
                <w:rPr>
                  <w:rFonts w:ascii="Cambria Math" w:hAnsi="Cambria Math" w:cs="Arial"/>
                </w:rPr>
                <m:t>.</m:t>
              </m:r>
              <m:r>
                <m:rPr>
                  <m:sty m:val="p"/>
                </m:rPr>
                <w:rPr>
                  <w:rFonts w:ascii="Cambria Math" w:hAnsi="Cambria Math" w:cs="Arial"/>
                </w:rPr>
                <m:t>cos⁡</m:t>
              </m:r>
              <m:r>
                <w:rPr>
                  <w:rFonts w:ascii="Cambria Math" w:hAnsi="Cambria Math" w:cs="Arial"/>
                </w:rPr>
                <m:t>(</m:t>
              </m:r>
              <m:acc>
                <m:accPr>
                  <m:ctrlPr>
                    <w:rPr>
                      <w:rFonts w:ascii="Cambria Math" w:hAnsi="Cambria Math" w:cs="Arial"/>
                      <w:i/>
                    </w:rPr>
                  </m:ctrlPr>
                </m:accPr>
                <m:e>
                  <m:r>
                    <w:rPr>
                      <w:rFonts w:ascii="Cambria Math" w:hAnsi="Cambria Math" w:cs="Arial"/>
                    </w:rPr>
                    <m:t>φ</m:t>
                  </m:r>
                </m:e>
              </m:acc>
              <m:r>
                <w:rPr>
                  <w:rFonts w:ascii="Cambria Math" w:hAnsi="Cambria Math" w:cs="Arial"/>
                </w:rPr>
                <m:t>)</m:t>
              </m:r>
            </m:e>
          </m:mr>
          <m:mr>
            <m:e>
              <m:sSub>
                <m:sSubPr>
                  <m:ctrlPr>
                    <w:rPr>
                      <w:rFonts w:ascii="Cambria Math" w:hAnsi="Cambria Math" w:cs="Arial"/>
                      <w:i/>
                    </w:rPr>
                  </m:ctrlPr>
                </m:sSubPr>
                <m:e>
                  <m:r>
                    <w:rPr>
                      <w:rFonts w:ascii="Cambria Math" w:hAnsi="Cambria Math" w:cs="Arial"/>
                    </w:rPr>
                    <m:t>G</m:t>
                  </m:r>
                </m:e>
                <m:sub>
                  <m:r>
                    <w:rPr>
                      <w:rFonts w:ascii="Cambria Math" w:hAnsi="Cambria Math" w:cs="Arial"/>
                    </w:rPr>
                    <m:t>y</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acc>
                        <m:accPr>
                          <m:ctrlPr>
                            <w:rPr>
                              <w:rFonts w:ascii="Cambria Math" w:hAnsi="Cambria Math" w:cs="Arial"/>
                              <w:i/>
                            </w:rPr>
                          </m:ctrlPr>
                        </m:accPr>
                        <m:e>
                          <m:r>
                            <w:rPr>
                              <w:rFonts w:ascii="Cambria Math" w:hAnsi="Cambria Math" w:cs="Arial"/>
                            </w:rPr>
                            <m:t>θ</m:t>
                          </m:r>
                        </m:e>
                      </m:acc>
                    </m:e>
                  </m:d>
                </m:e>
              </m:func>
              <m:r>
                <w:rPr>
                  <w:rFonts w:ascii="Cambria Math" w:hAnsi="Cambria Math" w:cs="Arial"/>
                </w:rPr>
                <m:t>.</m:t>
              </m:r>
              <m:r>
                <m:rPr>
                  <m:sty m:val="p"/>
                </m:rPr>
                <w:rPr>
                  <w:rFonts w:ascii="Cambria Math" w:hAnsi="Cambria Math" w:cs="Arial"/>
                </w:rPr>
                <m:t>cos⁡</m:t>
              </m:r>
              <m:r>
                <w:rPr>
                  <w:rFonts w:ascii="Cambria Math" w:hAnsi="Cambria Math" w:cs="Arial"/>
                </w:rPr>
                <m:t>(</m:t>
              </m:r>
              <m:acc>
                <m:accPr>
                  <m:ctrlPr>
                    <w:rPr>
                      <w:rFonts w:ascii="Cambria Math" w:hAnsi="Cambria Math" w:cs="Arial"/>
                      <w:i/>
                    </w:rPr>
                  </m:ctrlPr>
                </m:accPr>
                <m:e>
                  <m:r>
                    <w:rPr>
                      <w:rFonts w:ascii="Cambria Math" w:hAnsi="Cambria Math" w:cs="Arial"/>
                    </w:rPr>
                    <m:t>φ</m:t>
                  </m:r>
                </m:e>
              </m:acc>
              <m:r>
                <w:rPr>
                  <w:rFonts w:ascii="Cambria Math" w:hAnsi="Cambria Math" w:cs="Arial"/>
                </w:rPr>
                <m:t>)</m:t>
              </m:r>
            </m:e>
          </m:mr>
          <m:mr>
            <m:e>
              <m:sSub>
                <m:sSubPr>
                  <m:ctrlPr>
                    <w:rPr>
                      <w:rFonts w:ascii="Cambria Math" w:hAnsi="Cambria Math" w:cs="Arial"/>
                      <w:i/>
                    </w:rPr>
                  </m:ctrlPr>
                </m:sSubPr>
                <m:e>
                  <m:r>
                    <w:rPr>
                      <w:rFonts w:ascii="Cambria Math" w:hAnsi="Cambria Math" w:cs="Arial"/>
                    </w:rPr>
                    <m:t>G</m:t>
                  </m:r>
                </m:e>
                <m:sub>
                  <m:r>
                    <w:rPr>
                      <w:rFonts w:ascii="Cambria Math" w:hAnsi="Cambria Math" w:cs="Arial"/>
                    </w:rPr>
                    <m:t>z</m:t>
                  </m:r>
                </m:sub>
              </m:sSub>
              <m:r>
                <w:rPr>
                  <w:rFonts w:ascii="Cambria Math" w:hAnsi="Cambria Math" w:cs="Arial"/>
                </w:rPr>
                <m:t>=</m:t>
              </m:r>
              <m:r>
                <m:rPr>
                  <m:sty m:val="p"/>
                </m:rPr>
                <w:rPr>
                  <w:rFonts w:ascii="Cambria Math" w:hAnsi="Cambria Math" w:cs="Arial"/>
                </w:rPr>
                <m:t>sin⁡</m:t>
              </m:r>
              <m:r>
                <w:rPr>
                  <w:rFonts w:ascii="Cambria Math" w:hAnsi="Cambria Math" w:cs="Arial"/>
                </w:rPr>
                <m:t>(</m:t>
              </m:r>
              <m:acc>
                <m:accPr>
                  <m:ctrlPr>
                    <w:rPr>
                      <w:rFonts w:ascii="Cambria Math" w:hAnsi="Cambria Math" w:cs="Arial"/>
                      <w:i/>
                    </w:rPr>
                  </m:ctrlPr>
                </m:accPr>
                <m:e>
                  <m:r>
                    <w:rPr>
                      <w:rFonts w:ascii="Cambria Math" w:hAnsi="Cambria Math" w:cs="Arial"/>
                    </w:rPr>
                    <m:t>φ</m:t>
                  </m:r>
                </m:e>
              </m:acc>
              <m:r>
                <w:rPr>
                  <w:rFonts w:ascii="Cambria Math" w:hAnsi="Cambria Math" w:cs="Arial"/>
                </w:rPr>
                <m:t>)</m:t>
              </m:r>
            </m:e>
          </m:mr>
        </m:m>
      </m:oMath>
    </w:p>
    <w:p w14:paraId="64F9B2DD" w14:textId="51AE921D" w:rsidR="006267A6" w:rsidRDefault="006267A6" w:rsidP="00F54830">
      <w:pPr>
        <w:jc w:val="both"/>
        <w:rPr>
          <w:rFonts w:cs="Arial"/>
        </w:rPr>
      </w:pPr>
      <w:r>
        <w:rPr>
          <w:rFonts w:cs="Arial"/>
        </w:rPr>
        <w:t xml:space="preserve">Où θ et </w:t>
      </w:r>
      <m:oMath>
        <m:r>
          <w:rPr>
            <w:rFonts w:ascii="Cambria Math" w:hAnsi="Cambria Math" w:cs="Arial"/>
          </w:rPr>
          <m:t>φ</m:t>
        </m:r>
      </m:oMath>
      <w:r w:rsidRPr="00565E59">
        <w:rPr>
          <w:rFonts w:cs="Arial"/>
        </w:rPr>
        <w:t xml:space="preserve"> désignent respectivement les an</w:t>
      </w:r>
      <w:r w:rsidR="00F54830">
        <w:rPr>
          <w:rFonts w:cs="Arial"/>
        </w:rPr>
        <w:t>gles d’azimut</w:t>
      </w:r>
      <w:r>
        <w:rPr>
          <w:rFonts w:cs="Arial"/>
        </w:rPr>
        <w:t xml:space="preserve"> et d’élévation du tir de goniométrie exacte,</w:t>
      </w:r>
      <m:oMath>
        <m:r>
          <w:rPr>
            <w:rFonts w:ascii="Cambria Math" w:hAnsi="Cambria Math" w:cs="Arial"/>
          </w:rPr>
          <m:t xml:space="preserve"> </m:t>
        </m:r>
        <m:acc>
          <m:accPr>
            <m:ctrlPr>
              <w:rPr>
                <w:rFonts w:ascii="Cambria Math" w:hAnsi="Cambria Math" w:cs="Arial"/>
                <w:i/>
              </w:rPr>
            </m:ctrlPr>
          </m:accPr>
          <m:e>
            <m:r>
              <w:rPr>
                <w:rFonts w:ascii="Cambria Math" w:hAnsi="Cambria Math" w:cs="Arial"/>
              </w:rPr>
              <m:t>θ</m:t>
            </m:r>
          </m:e>
        </m:acc>
      </m:oMath>
      <w:r w:rsidR="00F54830">
        <w:rPr>
          <w:rFonts w:cs="Arial"/>
        </w:rPr>
        <w:t xml:space="preserve"> et</w:t>
      </w:r>
      <w:r>
        <w:rPr>
          <w:rFonts w:cs="Arial"/>
        </w:rPr>
        <w:t xml:space="preserve"> </w:t>
      </w:r>
      <m:oMath>
        <m:acc>
          <m:accPr>
            <m:ctrlPr>
              <w:rPr>
                <w:rFonts w:ascii="Cambria Math" w:hAnsi="Cambria Math" w:cs="Arial"/>
                <w:i/>
              </w:rPr>
            </m:ctrlPr>
          </m:accPr>
          <m:e>
            <m:r>
              <w:rPr>
                <w:rFonts w:ascii="Cambria Math" w:hAnsi="Cambria Math" w:cs="Arial"/>
              </w:rPr>
              <m:t>φ</m:t>
            </m:r>
          </m:e>
        </m:acc>
      </m:oMath>
      <w:r>
        <w:rPr>
          <w:rFonts w:cs="Arial"/>
        </w:rPr>
        <w:t xml:space="preserve"> </w:t>
      </w:r>
      <w:r w:rsidR="00F54830">
        <w:rPr>
          <w:rFonts w:cs="Arial"/>
        </w:rPr>
        <w:t xml:space="preserve"> respectivement les angles d’azimut et d’élévation estimés par le goniomètre.</w:t>
      </w:r>
    </w:p>
    <w:p w14:paraId="34512745" w14:textId="77777777" w:rsidR="00F54830" w:rsidRDefault="00F54830" w:rsidP="00F54830">
      <w:pPr>
        <w:keepNext/>
        <w:jc w:val="center"/>
      </w:pPr>
      <w:r>
        <w:rPr>
          <w:noProof/>
          <w:lang w:eastAsia="fr-FR"/>
        </w:rPr>
        <w:drawing>
          <wp:inline distT="0" distB="0" distL="0" distR="0" wp14:anchorId="52629404" wp14:editId="2AD54F1F">
            <wp:extent cx="3114675" cy="23050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4675" cy="2305050"/>
                    </a:xfrm>
                    <a:prstGeom prst="rect">
                      <a:avLst/>
                    </a:prstGeom>
                  </pic:spPr>
                </pic:pic>
              </a:graphicData>
            </a:graphic>
          </wp:inline>
        </w:drawing>
      </w:r>
    </w:p>
    <w:p w14:paraId="6F8721B5" w14:textId="43A1A5CE" w:rsidR="00F54830" w:rsidRDefault="00F54830" w:rsidP="00F54830">
      <w:pPr>
        <w:pStyle w:val="Lgende"/>
        <w:jc w:val="center"/>
        <w:rPr>
          <w:rFonts w:cstheme="minorHAnsi"/>
        </w:rPr>
      </w:pPr>
      <w:r>
        <w:t xml:space="preserve">Figure </w:t>
      </w:r>
      <w:r>
        <w:fldChar w:fldCharType="begin"/>
      </w:r>
      <w:r>
        <w:instrText xml:space="preserve"> SEQ Figure \* ARABIC </w:instrText>
      </w:r>
      <w:r>
        <w:fldChar w:fldCharType="separate"/>
      </w:r>
      <w:r>
        <w:rPr>
          <w:noProof/>
        </w:rPr>
        <w:t>14</w:t>
      </w:r>
      <w:r>
        <w:fldChar w:fldCharType="end"/>
      </w:r>
      <w:r>
        <w:t xml:space="preserve"> : Mise en évidence de la distance angulaire </w:t>
      </w:r>
      <w:r>
        <w:rPr>
          <w:rFonts w:cstheme="minorHAnsi"/>
        </w:rPr>
        <w:t>α, [</w:t>
      </w:r>
      <w:commentRangeStart w:id="31"/>
      <w:r>
        <w:rPr>
          <w:rFonts w:cstheme="minorHAnsi"/>
        </w:rPr>
        <w:t>Ref</w:t>
      </w:r>
      <w:commentRangeEnd w:id="31"/>
      <w:r>
        <w:rPr>
          <w:rStyle w:val="Marquedecommentaire"/>
          <w:i w:val="0"/>
          <w:iCs w:val="0"/>
          <w:color w:val="auto"/>
        </w:rPr>
        <w:commentReference w:id="31"/>
      </w:r>
      <w:r>
        <w:rPr>
          <w:rFonts w:cstheme="minorHAnsi"/>
        </w:rPr>
        <w:t>]</w:t>
      </w:r>
    </w:p>
    <w:p w14:paraId="0A331A3A" w14:textId="77777777" w:rsidR="00F54830" w:rsidRDefault="00F54830" w:rsidP="00F54830">
      <w:pPr>
        <w:keepNext/>
        <w:jc w:val="center"/>
      </w:pPr>
      <w:r>
        <w:rPr>
          <w:noProof/>
          <w:lang w:eastAsia="fr-FR"/>
        </w:rPr>
        <w:lastRenderedPageBreak/>
        <w:drawing>
          <wp:inline distT="0" distB="0" distL="0" distR="0" wp14:anchorId="061BCB71" wp14:editId="73585AB5">
            <wp:extent cx="3152775" cy="20193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2775" cy="2019300"/>
                    </a:xfrm>
                    <a:prstGeom prst="rect">
                      <a:avLst/>
                    </a:prstGeom>
                  </pic:spPr>
                </pic:pic>
              </a:graphicData>
            </a:graphic>
          </wp:inline>
        </w:drawing>
      </w:r>
    </w:p>
    <w:p w14:paraId="10A02D09" w14:textId="7A4D3746" w:rsidR="00F54830" w:rsidRPr="00F54830" w:rsidRDefault="00F54830" w:rsidP="00F54830">
      <w:pPr>
        <w:pStyle w:val="Lgende"/>
        <w:jc w:val="center"/>
      </w:pPr>
      <w:r>
        <w:t xml:space="preserve">Figure </w:t>
      </w:r>
      <w:r>
        <w:fldChar w:fldCharType="begin"/>
      </w:r>
      <w:r>
        <w:instrText xml:space="preserve"> SEQ Figure \* ARABIC </w:instrText>
      </w:r>
      <w:r>
        <w:fldChar w:fldCharType="separate"/>
      </w:r>
      <w:r>
        <w:rPr>
          <w:noProof/>
        </w:rPr>
        <w:t>15</w:t>
      </w:r>
      <w:r>
        <w:fldChar w:fldCharType="end"/>
      </w:r>
      <w:r>
        <w:t xml:space="preserve"> : Mise en évidence de l'angle </w:t>
      </w:r>
      <w:r>
        <w:rPr>
          <w:rFonts w:cstheme="minorHAnsi"/>
        </w:rPr>
        <w:t>α</w:t>
      </w:r>
      <w:r>
        <w:t xml:space="preserve"> en fonction des BCR en élévation et en gisement</w:t>
      </w:r>
    </w:p>
    <w:p w14:paraId="64EE74DE" w14:textId="7CB2EA9F" w:rsidR="00256711" w:rsidRDefault="00256711" w:rsidP="000F60A8">
      <w:pPr>
        <w:pStyle w:val="Titre3"/>
        <w:jc w:val="both"/>
      </w:pPr>
      <w:bookmarkStart w:id="32" w:name="_Toc104886663"/>
      <w:r>
        <w:t>Précision</w:t>
      </w:r>
      <w:bookmarkEnd w:id="32"/>
      <w:r>
        <w:t xml:space="preserve"> </w:t>
      </w:r>
    </w:p>
    <w:p w14:paraId="7E8376D8" w14:textId="1131E11C" w:rsidR="00190DFB" w:rsidRDefault="00190DFB" w:rsidP="000F60A8">
      <w:pPr>
        <w:jc w:val="both"/>
      </w:pPr>
      <w:r>
        <w:t xml:space="preserve">La précision d’un goniomètre correspond à l’erreur angulaire entre l’estimation de l’angle d’arrivé et l’angle d’arrivé exact. </w:t>
      </w:r>
      <w:r w:rsidR="0052584E">
        <w:t>C’est l’un des paramètres les plus importants lors de l’étude d’un système goniomé</w:t>
      </w:r>
      <w:r w:rsidR="00DC79E8">
        <w:t>trique car elle peut induire des erreurs lors de la détermination de la localisation d’</w:t>
      </w:r>
      <w:r w:rsidR="00F47D3D">
        <w:t>un émetteur</w:t>
      </w:r>
      <w:r w:rsidR="0052584E">
        <w:t xml:space="preserve">. Cette précision est usuellement décrite via la valeur </w:t>
      </w:r>
      <w:r w:rsidR="00672732" w:rsidRPr="00672732">
        <w:t>moyenne quadratique</w:t>
      </w:r>
      <w:r w:rsidR="0052584E">
        <w:t xml:space="preserve"> (RMS) de l’erreur angulaire</w:t>
      </w:r>
      <w:r w:rsidR="005A2AD7">
        <w:t>, dépendant des angles d’azimut ou d’élévation.</w:t>
      </w:r>
    </w:p>
    <w:p w14:paraId="709AAD46" w14:textId="11818AE6" w:rsidR="005A2AD7" w:rsidRPr="005A2AD7" w:rsidRDefault="005A2AD7" w:rsidP="000F60A8">
      <w:pPr>
        <w:jc w:val="both"/>
      </w:pPr>
      <m:oMathPara>
        <m:oMath>
          <m:sSub>
            <m:sSubPr>
              <m:ctrlPr>
                <w:rPr>
                  <w:rFonts w:ascii="Cambria Math" w:hAnsi="Cambria Math"/>
                  <w:i/>
                </w:rPr>
              </m:ctrlPr>
            </m:sSubPr>
            <m:e>
              <m:r>
                <w:rPr>
                  <w:rFonts w:ascii="Cambria Math" w:hAnsi="Cambria Math"/>
                </w:rPr>
                <m:t>E</m:t>
              </m:r>
            </m:e>
            <m:sub>
              <m:r>
                <w:rPr>
                  <w:rFonts w:ascii="Cambria Math" w:hAnsi="Cambria Math"/>
                </w:rPr>
                <m:t>RMS</m:t>
              </m:r>
            </m:sub>
          </m:sSub>
          <m:d>
            <m:dPr>
              <m:ctrlPr>
                <w:rPr>
                  <w:rFonts w:ascii="Cambria Math" w:hAnsi="Cambria Math"/>
                  <w:i/>
                </w:rPr>
              </m:ctrlPr>
            </m:dPr>
            <m:e>
              <m:r>
                <w:rPr>
                  <w:rFonts w:ascii="Cambria Math" w:hAnsi="Cambria Math"/>
                </w:rPr>
                <m:t>θ</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L</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r>
                        <w:rPr>
                          <w:rFonts w:ascii="Cambria Math" w:hAnsi="Cambria Math"/>
                        </w:rPr>
                        <m:t>θ-</m:t>
                      </m:r>
                      <m:acc>
                        <m:accPr>
                          <m:ctrlPr>
                            <w:rPr>
                              <w:rFonts w:ascii="Cambria Math" w:hAnsi="Cambria Math"/>
                              <w:i/>
                            </w:rPr>
                          </m:ctrlPr>
                        </m:accPr>
                        <m:e>
                          <m:r>
                            <w:rPr>
                              <w:rFonts w:ascii="Cambria Math" w:hAnsi="Cambria Math"/>
                            </w:rPr>
                            <m:t>θ</m:t>
                          </m:r>
                        </m:e>
                      </m:acc>
                    </m:e>
                  </m:d>
                </m:e>
              </m:nary>
            </m:e>
          </m:rad>
        </m:oMath>
      </m:oMathPara>
    </w:p>
    <w:p w14:paraId="306E89B7" w14:textId="6F20D367" w:rsidR="001F5CA0" w:rsidRDefault="00BD3515" w:rsidP="000F60A8">
      <w:pPr>
        <w:jc w:val="both"/>
        <w:rPr>
          <w:rFonts w:cstheme="minorHAnsi"/>
        </w:rPr>
      </w:pPr>
      <w:r>
        <w:t xml:space="preserve">Où </w:t>
      </w:r>
      <w:r>
        <w:rPr>
          <w:rFonts w:cstheme="minorHAnsi"/>
        </w:rPr>
        <w:t>θ</w:t>
      </w:r>
      <w:r>
        <w:t xml:space="preserve"> est l’angle d’azimut d’arrivé exact de l’onde</w:t>
      </w:r>
      <w:r w:rsidR="00587DFC">
        <w:t xml:space="preserve"> (direction de référence)</w:t>
      </w:r>
      <w:r>
        <w:t xml:space="preserve">, </w:t>
      </w:r>
      <m:oMath>
        <m:acc>
          <m:accPr>
            <m:ctrlPr>
              <w:rPr>
                <w:rFonts w:ascii="Cambria Math" w:hAnsi="Cambria Math"/>
                <w:i/>
              </w:rPr>
            </m:ctrlPr>
          </m:accPr>
          <m:e>
            <m:r>
              <w:rPr>
                <w:rFonts w:ascii="Cambria Math" w:hAnsi="Cambria Math"/>
              </w:rPr>
              <m:t>θ</m:t>
            </m:r>
          </m:e>
        </m:acc>
      </m:oMath>
      <w:r>
        <w:t xml:space="preserve"> est l’angle estimé par le goniomètre</w:t>
      </w:r>
      <w:r w:rsidR="00587DFC">
        <w:t xml:space="preserve"> (direction de test)</w:t>
      </w:r>
      <w:r>
        <w:t xml:space="preserve">, </w:t>
      </w:r>
      <w:r w:rsidRPr="001F5CA0">
        <w:rPr>
          <w:i/>
        </w:rPr>
        <w:t>K</w:t>
      </w:r>
      <w:r>
        <w:t xml:space="preserve"> est le nombre d’acquisition par tirage de Monte-Carlo.</w:t>
      </w:r>
      <w:r w:rsidR="001F5CA0">
        <w:t xml:space="preserve"> Cette équation est transposable à l’angle d’élévation, en remplaçant </w:t>
      </w:r>
      <w:r w:rsidR="001F5CA0">
        <w:rPr>
          <w:rFonts w:cstheme="minorHAnsi"/>
        </w:rPr>
        <w:t xml:space="preserve">θ par </w:t>
      </w:r>
      <m:oMath>
        <m:r>
          <w:rPr>
            <w:rFonts w:ascii="Cambria Math" w:hAnsi="Cambria Math" w:cstheme="minorHAnsi"/>
          </w:rPr>
          <m:t>φ</m:t>
        </m:r>
      </m:oMath>
      <w:r w:rsidR="001F5CA0">
        <w:rPr>
          <w:rFonts w:cstheme="minorHAnsi"/>
        </w:rPr>
        <w:t>.</w:t>
      </w:r>
    </w:p>
    <w:p w14:paraId="78972AEB" w14:textId="057904D2" w:rsidR="00CA1C07" w:rsidRDefault="00CA1C07" w:rsidP="000F60A8">
      <w:pPr>
        <w:jc w:val="both"/>
        <w:rPr>
          <w:rFonts w:cstheme="minorHAnsi"/>
        </w:rPr>
      </w:pPr>
      <w:r>
        <w:rPr>
          <w:rFonts w:cstheme="minorHAnsi"/>
        </w:rPr>
        <w:t>On peut également mesurer la précision d’un goniomètre en fonction de plusieurs paramètres comme la direction angulaire, la polarisation et la fréquence</w:t>
      </w:r>
      <w:r w:rsidR="00217614">
        <w:rPr>
          <w:rFonts w:cstheme="minorHAnsi"/>
        </w:rPr>
        <w:t xml:space="preserve"> [</w:t>
      </w:r>
      <w:commentRangeStart w:id="33"/>
      <w:r w:rsidR="00217614">
        <w:rPr>
          <w:rFonts w:cstheme="minorHAnsi"/>
        </w:rPr>
        <w:t>Ref</w:t>
      </w:r>
      <w:commentRangeEnd w:id="33"/>
      <w:r w:rsidR="00217614">
        <w:rPr>
          <w:rStyle w:val="Marquedecommentaire"/>
        </w:rPr>
        <w:commentReference w:id="33"/>
      </w:r>
      <w:r w:rsidR="00217614">
        <w:rPr>
          <w:rFonts w:cstheme="minorHAnsi"/>
        </w:rPr>
        <w:t>]</w:t>
      </w:r>
      <w:r>
        <w:rPr>
          <w:rFonts w:cstheme="minorHAnsi"/>
        </w:rPr>
        <w:t>. On mesure pour cela le niveau de colinéarité entre les deux réponses du réseau antenna</w:t>
      </w:r>
      <w:r w:rsidR="00F424DA">
        <w:rPr>
          <w:rFonts w:cstheme="minorHAnsi"/>
        </w:rPr>
        <w:t xml:space="preserve">ire comme précédemment, </w:t>
      </w:r>
      <w:r>
        <w:rPr>
          <w:rFonts w:cstheme="minorHAnsi"/>
        </w:rPr>
        <w:t xml:space="preserve">appelé </w:t>
      </w:r>
      <w:r w:rsidRPr="00F424DA">
        <w:rPr>
          <w:rFonts w:cstheme="minorHAnsi"/>
          <w:i/>
        </w:rPr>
        <w:t>distance</w:t>
      </w:r>
      <w:r w:rsidR="00F424DA">
        <w:rPr>
          <w:rFonts w:cstheme="minorHAnsi"/>
        </w:rPr>
        <w:t xml:space="preserve">. L’expression prend en compte les deux réponses </w:t>
      </w:r>
      <w:r w:rsidR="00587DFC">
        <w:rPr>
          <w:rFonts w:cstheme="minorHAnsi"/>
        </w:rPr>
        <w:t xml:space="preserve">à une fréquence </w:t>
      </w:r>
      <m:oMath>
        <m:r>
          <w:rPr>
            <w:rFonts w:ascii="Cambria Math" w:hAnsi="Cambria Math" w:cstheme="minorHAnsi"/>
          </w:rPr>
          <m:t>f</m:t>
        </m:r>
      </m:oMath>
      <w:r w:rsidR="00587DFC">
        <w:rPr>
          <w:rFonts w:cstheme="minorHAnsi"/>
        </w:rPr>
        <w:t xml:space="preserve"> dans les deux directions angulaires et de polarisations distinctes </w:t>
      </w:r>
      <m:oMath>
        <m:r>
          <w:rPr>
            <w:rFonts w:ascii="Cambria Math" w:hAnsi="Cambria Math" w:cstheme="minorHAnsi"/>
          </w:rPr>
          <m:t>(</m:t>
        </m:r>
        <m:r>
          <w:rPr>
            <w:rFonts w:ascii="Cambria Math" w:hAnsi="Cambria Math" w:cstheme="minorHAnsi"/>
          </w:rPr>
          <m:t>θ,φ,p</m:t>
        </m:r>
        <m:r>
          <w:rPr>
            <w:rFonts w:ascii="Cambria Math" w:hAnsi="Cambria Math" w:cstheme="minorHAnsi"/>
          </w:rPr>
          <m:t>)</m:t>
        </m:r>
      </m:oMath>
      <w:r w:rsidR="00587DFC">
        <w:rPr>
          <w:rFonts w:cstheme="minorHAnsi"/>
        </w:rPr>
        <w:t xml:space="preserve"> et </w:t>
      </w:r>
      <m:oMath>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e>
        </m:d>
      </m:oMath>
      <w:r w:rsidR="00587DFC">
        <w:rPr>
          <w:rFonts w:cstheme="minorHAnsi"/>
        </w:rPr>
        <w:t>, respectivement direction de référence et direction de test.</w:t>
      </w:r>
    </w:p>
    <w:p w14:paraId="688E900A" w14:textId="0D66B98B" w:rsidR="00CA1C07" w:rsidRPr="00AD5ADF" w:rsidRDefault="00217614" w:rsidP="000F60A8">
      <w:pPr>
        <w:jc w:val="both"/>
        <w:rPr>
          <w:rFonts w:cstheme="minorHAnsi"/>
        </w:rPr>
      </w:pPr>
      <m:oMathPara>
        <m:oMath>
          <m:sSub>
            <m:sSubPr>
              <m:ctrlPr>
                <w:rPr>
                  <w:rFonts w:ascii="Cambria Math" w:hAnsi="Cambria Math" w:cstheme="minorHAnsi"/>
                  <w:i/>
                </w:rPr>
              </m:ctrlPr>
            </m:sSubPr>
            <m:e>
              <m:r>
                <w:rPr>
                  <w:rFonts w:ascii="Cambria Math" w:hAnsi="Cambria Math" w:cstheme="minorHAnsi"/>
                </w:rPr>
                <m:t>Distance</m:t>
              </m:r>
            </m:e>
            <m:sub>
              <m:r>
                <w:rPr>
                  <w:rFonts w:ascii="Cambria Math" w:hAnsi="Cambria Math" w:cstheme="minorHAnsi"/>
                </w:rPr>
                <m:t>f</m:t>
              </m:r>
            </m:sub>
          </m:sSub>
          <m:d>
            <m:dPr>
              <m:ctrlPr>
                <w:rPr>
                  <w:rFonts w:ascii="Cambria Math" w:hAnsi="Cambria Math" w:cstheme="minorHAnsi"/>
                  <w:i/>
                </w:rPr>
              </m:ctrlPr>
            </m:dPr>
            <m:e>
              <m:r>
                <w:rPr>
                  <w:rFonts w:ascii="Cambria Math" w:hAnsi="Cambria Math" w:cstheme="minorHAnsi"/>
                </w:rPr>
                <m:t>α</m:t>
              </m:r>
              <m:d>
                <m:dPr>
                  <m:ctrlPr>
                    <w:rPr>
                      <w:rFonts w:ascii="Cambria Math" w:hAnsi="Cambria Math" w:cstheme="minorHAnsi"/>
                      <w:i/>
                    </w:rPr>
                  </m:ctrlPr>
                </m:dPr>
                <m:e>
                  <m:r>
                    <w:rPr>
                      <w:rFonts w:ascii="Cambria Math" w:hAnsi="Cambria Math" w:cstheme="minorHAnsi"/>
                    </w:rPr>
                    <m:t>θ,φ,p,f</m:t>
                  </m:r>
                </m:e>
              </m:d>
              <m:r>
                <w:rPr>
                  <w:rFonts w:ascii="Cambria Math" w:hAnsi="Cambria Math" w:cstheme="minorHAnsi"/>
                </w:rPr>
                <m:t>,α</m:t>
              </m:r>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r>
                    <w:rPr>
                      <w:rFonts w:ascii="Cambria Math" w:hAnsi="Cambria Math" w:cstheme="minorHAnsi"/>
                    </w:rPr>
                    <m:t>,f</m:t>
                  </m:r>
                </m:e>
              </m:d>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min</m:t>
              </m:r>
            </m:e>
            <m:sub>
              <m:r>
                <w:rPr>
                  <w:rFonts w:ascii="Cambria Math" w:hAnsi="Cambria Math" w:cstheme="minorHAnsi"/>
                </w:rPr>
                <m:t>γϵ[0,2π]</m:t>
              </m:r>
            </m:sub>
          </m:sSub>
          <m:d>
            <m:dPr>
              <m:begChr m:val="{"/>
              <m:endChr m:val="}"/>
              <m:ctrlPr>
                <w:rPr>
                  <w:rFonts w:ascii="Cambria Math" w:hAnsi="Cambria Math" w:cstheme="minorHAnsi"/>
                  <w:i/>
                </w:rPr>
              </m:ctrlPr>
            </m:dPr>
            <m:e>
              <m:d>
                <m:dPr>
                  <m:begChr m:val="‖"/>
                  <m:endChr m:val="‖"/>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α</m:t>
                      </m:r>
                      <m:d>
                        <m:dPr>
                          <m:ctrlPr>
                            <w:rPr>
                              <w:rFonts w:ascii="Cambria Math" w:hAnsi="Cambria Math" w:cstheme="minorHAnsi"/>
                              <w:i/>
                            </w:rPr>
                          </m:ctrlPr>
                        </m:dPr>
                        <m:e>
                          <m:r>
                            <w:rPr>
                              <w:rFonts w:ascii="Cambria Math" w:hAnsi="Cambria Math" w:cstheme="minorHAnsi"/>
                            </w:rPr>
                            <m:t>θ,φ,p,f</m:t>
                          </m:r>
                        </m:e>
                      </m:d>
                    </m:num>
                    <m:den>
                      <m:d>
                        <m:dPr>
                          <m:begChr m:val="‖"/>
                          <m:endChr m:val="‖"/>
                          <m:ctrlPr>
                            <w:rPr>
                              <w:rFonts w:ascii="Cambria Math" w:hAnsi="Cambria Math" w:cstheme="minorHAnsi"/>
                              <w:i/>
                            </w:rPr>
                          </m:ctrlPr>
                        </m:dPr>
                        <m:e>
                          <m:r>
                            <w:rPr>
                              <w:rFonts w:ascii="Cambria Math" w:hAnsi="Cambria Math" w:cstheme="minorHAnsi"/>
                            </w:rPr>
                            <m:t>α</m:t>
                          </m:r>
                          <m:d>
                            <m:dPr>
                              <m:ctrlPr>
                                <w:rPr>
                                  <w:rFonts w:ascii="Cambria Math" w:hAnsi="Cambria Math" w:cstheme="minorHAnsi"/>
                                  <w:i/>
                                </w:rPr>
                              </m:ctrlPr>
                            </m:dPr>
                            <m:e>
                              <m:r>
                                <w:rPr>
                                  <w:rFonts w:ascii="Cambria Math" w:hAnsi="Cambria Math" w:cstheme="minorHAnsi"/>
                                </w:rPr>
                                <m:t>θ,φ,p,f</m:t>
                              </m:r>
                            </m:e>
                          </m:d>
                        </m:e>
                      </m:d>
                    </m:den>
                  </m:f>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jγ</m:t>
                      </m:r>
                    </m:sup>
                  </m:sSup>
                  <m:f>
                    <m:fPr>
                      <m:ctrlPr>
                        <w:rPr>
                          <w:rFonts w:ascii="Cambria Math" w:hAnsi="Cambria Math" w:cstheme="minorHAnsi"/>
                          <w:i/>
                        </w:rPr>
                      </m:ctrlPr>
                    </m:fPr>
                    <m:num>
                      <m:r>
                        <w:rPr>
                          <w:rFonts w:ascii="Cambria Math" w:hAnsi="Cambria Math" w:cstheme="minorHAnsi"/>
                        </w:rPr>
                        <m:t>α</m:t>
                      </m:r>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r>
                            <w:rPr>
                              <w:rFonts w:ascii="Cambria Math" w:hAnsi="Cambria Math" w:cstheme="minorHAnsi"/>
                            </w:rPr>
                            <m:t>,f</m:t>
                          </m:r>
                        </m:e>
                      </m:d>
                    </m:num>
                    <m:den>
                      <m:d>
                        <m:dPr>
                          <m:begChr m:val="‖"/>
                          <m:endChr m:val="‖"/>
                          <m:ctrlPr>
                            <w:rPr>
                              <w:rFonts w:ascii="Cambria Math" w:hAnsi="Cambria Math" w:cstheme="minorHAnsi"/>
                              <w:i/>
                            </w:rPr>
                          </m:ctrlPr>
                        </m:dPr>
                        <m:e>
                          <m:r>
                            <w:rPr>
                              <w:rFonts w:ascii="Cambria Math" w:hAnsi="Cambria Math" w:cstheme="minorHAnsi"/>
                            </w:rPr>
                            <m:t>α</m:t>
                          </m:r>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r>
                                <w:rPr>
                                  <w:rFonts w:ascii="Cambria Math" w:hAnsi="Cambria Math" w:cstheme="minorHAnsi"/>
                                </w:rPr>
                                <m:t>,f</m:t>
                              </m:r>
                            </m:e>
                          </m:d>
                        </m:e>
                      </m:d>
                    </m:den>
                  </m:f>
                </m:e>
              </m:d>
            </m:e>
          </m:d>
        </m:oMath>
      </m:oMathPara>
    </w:p>
    <w:p w14:paraId="38E8B807" w14:textId="126FB5B0" w:rsidR="00AD5ADF" w:rsidRDefault="00AD5ADF" w:rsidP="000F60A8">
      <w:pPr>
        <w:jc w:val="both"/>
        <w:rPr>
          <w:rFonts w:cstheme="minorHAnsi"/>
        </w:rPr>
      </w:pPr>
      <w:r>
        <w:rPr>
          <w:rFonts w:cstheme="minorHAnsi"/>
        </w:rPr>
        <w:t xml:space="preserve">Où </w:t>
      </w:r>
      <m:oMath>
        <m:d>
          <m:dPr>
            <m:begChr m:val="‖"/>
            <m:endChr m:val="‖"/>
            <m:ctrlPr>
              <w:rPr>
                <w:rFonts w:ascii="Cambria Math" w:hAnsi="Cambria Math" w:cstheme="minorHAnsi"/>
                <w:i/>
              </w:rPr>
            </m:ctrlPr>
          </m:dPr>
          <m:e/>
        </m:d>
      </m:oMath>
      <w:r>
        <w:rPr>
          <w:rFonts w:cstheme="minorHAnsi"/>
        </w:rPr>
        <w:t xml:space="preserve"> est la norme associée au produit scalaire canonique et </w:t>
      </w:r>
      <w:r w:rsidR="00083C6B">
        <w:rPr>
          <w:rFonts w:cstheme="minorHAnsi"/>
        </w:rPr>
        <w:t>α</w:t>
      </w:r>
      <w:r w:rsidR="00B33220">
        <w:rPr>
          <w:rFonts w:cstheme="minorHAnsi"/>
        </w:rPr>
        <w:t xml:space="preserve"> la distance angulaire entre les dire</w:t>
      </w:r>
      <w:r w:rsidR="00123BD6">
        <w:rPr>
          <w:rFonts w:cstheme="minorHAnsi"/>
        </w:rPr>
        <w:t>ctions de référence et de test.</w:t>
      </w:r>
    </w:p>
    <w:p w14:paraId="4AE1FCCB" w14:textId="7A8C5E71" w:rsidR="008D3AB1" w:rsidRDefault="008D3AB1" w:rsidP="000F60A8">
      <w:pPr>
        <w:jc w:val="both"/>
        <w:rPr>
          <w:rFonts w:cstheme="minorHAnsi"/>
        </w:rPr>
      </w:pPr>
      <w:r>
        <w:rPr>
          <w:rFonts w:cstheme="minorHAnsi"/>
        </w:rPr>
        <w:t>Dans le cas où l’erreur de précision atteint la BCR, il est possible de minorer l’</w:t>
      </w:r>
      <w:r w:rsidR="00267EC9">
        <w:rPr>
          <w:rFonts w:cstheme="minorHAnsi"/>
        </w:rPr>
        <w:t>erreur de goniométrie tel que</w:t>
      </w:r>
      <w:r>
        <w:rPr>
          <w:rFonts w:cstheme="minorHAnsi"/>
        </w:rPr>
        <w:t xml:space="preserve"> </w:t>
      </w:r>
      <m:oMath>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=θ+</m:t>
        </m:r>
        <m:sSub>
          <m:sSubPr>
            <m:ctrlPr>
              <w:rPr>
                <w:rFonts w:ascii="Cambria Math" w:hAnsi="Cambria Math" w:cstheme="minorHAnsi"/>
                <w:i/>
              </w:rPr>
            </m:ctrlPr>
          </m:sSubPr>
          <m:e>
            <m:r>
              <w:rPr>
                <w:rFonts w:ascii="Cambria Math" w:hAnsi="Cambria Math" w:cstheme="minorHAnsi"/>
              </w:rPr>
              <m:t>BCR</m:t>
            </m:r>
          </m:e>
          <m:sub>
            <m:r>
              <w:rPr>
                <w:rFonts w:ascii="Cambria Math" w:hAnsi="Cambria Math" w:cstheme="minorHAnsi"/>
              </w:rPr>
              <m:t>θ</m:t>
            </m:r>
          </m:sub>
        </m:sSub>
      </m:oMath>
      <w:r>
        <w:rPr>
          <w:rFonts w:cstheme="minorHAnsi"/>
        </w:rPr>
        <w:t xml:space="preserve"> </w:t>
      </w:r>
      <w:r w:rsidR="00267EC9">
        <w:rPr>
          <w:rFonts w:cstheme="minorHAnsi"/>
        </w:rPr>
        <w:t xml:space="preserve">et </w:t>
      </w:r>
      <m:oMath>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=φ+</m:t>
        </m:r>
        <m:sSub>
          <m:sSubPr>
            <m:ctrlPr>
              <w:rPr>
                <w:rFonts w:ascii="Cambria Math" w:hAnsi="Cambria Math" w:cstheme="minorHAnsi"/>
                <w:i/>
              </w:rPr>
            </m:ctrlPr>
          </m:sSubPr>
          <m:e>
            <m:r>
              <w:rPr>
                <w:rFonts w:ascii="Cambria Math" w:hAnsi="Cambria Math" w:cstheme="minorHAnsi"/>
              </w:rPr>
              <m:t>BCR</m:t>
            </m:r>
          </m:e>
          <m:sub>
            <m:r>
              <w:rPr>
                <w:rFonts w:ascii="Cambria Math" w:hAnsi="Cambria Math" w:cstheme="minorHAnsi"/>
              </w:rPr>
              <m:t>φ</m:t>
            </m:r>
          </m:sub>
        </m:sSub>
      </m:oMath>
      <w:r>
        <w:rPr>
          <w:rFonts w:cstheme="minorHAnsi"/>
        </w:rPr>
        <w:t>.</w:t>
      </w:r>
    </w:p>
    <w:p w14:paraId="320B75CC" w14:textId="58D7DE01" w:rsidR="00256711" w:rsidRDefault="00256711" w:rsidP="000F60A8">
      <w:pPr>
        <w:pStyle w:val="Titre3"/>
        <w:jc w:val="both"/>
      </w:pPr>
      <w:bookmarkStart w:id="34" w:name="_Toc104886664"/>
      <w:commentRangeStart w:id="35"/>
      <w:r>
        <w:t>Sensibilité</w:t>
      </w:r>
      <w:commentRangeEnd w:id="35"/>
      <w:r w:rsidR="00C17063">
        <w:rPr>
          <w:rStyle w:val="Marquedecommentaire"/>
          <w:rFonts w:asciiTheme="minorHAnsi" w:eastAsia="Batang" w:hAnsiTheme="minorHAnsi" w:cstheme="minorBidi"/>
        </w:rPr>
        <w:commentReference w:id="35"/>
      </w:r>
      <w:bookmarkEnd w:id="34"/>
    </w:p>
    <w:p w14:paraId="01541FBA" w14:textId="2D75C077" w:rsidR="00E05E76" w:rsidRDefault="00727BA7" w:rsidP="000F60A8">
      <w:pPr>
        <w:jc w:val="both"/>
      </w:pPr>
      <w:r>
        <w:t xml:space="preserve">La sensibilité décrit la </w:t>
      </w:r>
      <w:r w:rsidR="00F9511E">
        <w:t xml:space="preserve">densité de </w:t>
      </w:r>
      <w:commentRangeStart w:id="36"/>
      <w:r>
        <w:t xml:space="preserve">puissance minimum </w:t>
      </w:r>
      <m:oMath>
        <m:sSub>
          <m:sSubPr>
            <m:ctrlPr>
              <w:rPr>
                <w:rFonts w:ascii="Cambria Math" w:hAnsi="Cambria Math"/>
                <w:i/>
              </w:rPr>
            </m:ctrlPr>
          </m:sSubPr>
          <m:e>
            <m:r>
              <w:rPr>
                <w:rFonts w:ascii="Cambria Math" w:hAnsi="Cambria Math"/>
              </w:rPr>
              <m:t>P</m:t>
            </m:r>
          </m:e>
          <m:sub>
            <m:r>
              <w:rPr>
                <w:rFonts w:ascii="Cambria Math" w:hAnsi="Cambria Math"/>
              </w:rPr>
              <m:t>sensi</m:t>
            </m:r>
          </m:sub>
        </m:sSub>
        <w:commentRangeEnd w:id="36"/>
        <m:r>
          <m:rPr>
            <m:sty m:val="p"/>
          </m:rPr>
          <w:rPr>
            <w:rStyle w:val="Marquedecommentaire"/>
          </w:rPr>
          <w:commentReference w:id="36"/>
        </m:r>
      </m:oMath>
      <w:r>
        <w:t xml:space="preserve"> nécessaire afin d’estimer l’angle d’arrivé d’une onde incidente avec une erreur ne dépassant pas un seuil défini.</w:t>
      </w:r>
      <w:r w:rsidR="00C17063">
        <w:t xml:space="preserve"> Plus précisément, la sensibilité correspond </w:t>
      </w:r>
      <w:r w:rsidR="00F9511E">
        <w:t xml:space="preserve">à </w:t>
      </w:r>
      <w:r w:rsidR="00C17063">
        <w:t xml:space="preserve">la puissance nécessaire </w:t>
      </w:r>
      <m:oMath>
        <m:sSub>
          <m:sSubPr>
            <m:ctrlPr>
              <w:rPr>
                <w:rFonts w:ascii="Cambria Math" w:hAnsi="Cambria Math"/>
                <w:i/>
              </w:rPr>
            </m:ctrlPr>
          </m:sSubPr>
          <m:e>
            <m:r>
              <w:rPr>
                <w:rFonts w:ascii="Cambria Math" w:hAnsi="Cambria Math"/>
              </w:rPr>
              <m:t>P</m:t>
            </m:r>
          </m:e>
          <m:sub>
            <m:r>
              <w:rPr>
                <w:rFonts w:ascii="Cambria Math" w:hAnsi="Cambria Math"/>
              </w:rPr>
              <m:t>ant</m:t>
            </m:r>
          </m:sub>
        </m:sSub>
      </m:oMath>
      <w:r w:rsidR="00C6055D">
        <w:t xml:space="preserve"> </w:t>
      </w:r>
      <w:r w:rsidR="00C17063">
        <w:t xml:space="preserve">permettant d’assurer un niveau de rapport signal sur bruit minimum </w:t>
      </w:r>
      <w:r w:rsidR="00056420">
        <w:t xml:space="preserve">pour que le signal ne soit pas noyé dans du bruit </w:t>
      </w:r>
      <w:r w:rsidR="00C17063">
        <w:t>afin d’obtenir la précision voulue, tel que</w:t>
      </w:r>
    </w:p>
    <w:p w14:paraId="1B07E1BC" w14:textId="6F0CA7C3" w:rsidR="00C17063" w:rsidRPr="00C17063" w:rsidRDefault="00C17063" w:rsidP="000F60A8">
      <w:pPr>
        <w:jc w:val="both"/>
      </w:pPr>
      <m:oMathPara>
        <m:oMath>
          <m:sSub>
            <m:sSubPr>
              <m:ctrlPr>
                <w:rPr>
                  <w:rFonts w:ascii="Cambria Math" w:hAnsi="Cambria Math"/>
                  <w:i/>
                </w:rPr>
              </m:ctrlPr>
            </m:sSubPr>
            <m:e>
              <m:r>
                <w:rPr>
                  <w:rFonts w:ascii="Cambria Math" w:hAnsi="Cambria Math"/>
                </w:rPr>
                <m:t>P</m:t>
              </m:r>
            </m:e>
            <m:sub>
              <m:r>
                <w:rPr>
                  <w:rFonts w:ascii="Cambria Math" w:hAnsi="Cambria Math"/>
                </w:rPr>
                <m:t>ant</m:t>
              </m:r>
            </m:sub>
          </m:sSub>
          <m:r>
            <w:rPr>
              <w:rFonts w:ascii="Cambria Math" w:hAnsi="Cambria Math"/>
            </w:rPr>
            <m:t>≥SNR+</m:t>
          </m:r>
          <m:sSub>
            <m:sSubPr>
              <m:ctrlPr>
                <w:rPr>
                  <w:rFonts w:ascii="Cambria Math" w:hAnsi="Cambria Math"/>
                  <w:i/>
                </w:rPr>
              </m:ctrlPr>
            </m:sSubPr>
            <m:e>
              <m:r>
                <w:rPr>
                  <w:rFonts w:ascii="Cambria Math" w:hAnsi="Cambria Math"/>
                </w:rPr>
                <m:t>P</m:t>
              </m:r>
            </m:e>
            <m:sub>
              <m:r>
                <w:rPr>
                  <w:rFonts w:ascii="Cambria Math" w:hAnsi="Cambria Math"/>
                </w:rPr>
                <m:t>n</m:t>
              </m:r>
            </m:sub>
          </m:sSub>
        </m:oMath>
      </m:oMathPara>
    </w:p>
    <w:p w14:paraId="3F224088" w14:textId="4BFAFC00" w:rsidR="00C17063" w:rsidRDefault="00C17063" w:rsidP="000F60A8">
      <w:pPr>
        <w:jc w:val="both"/>
      </w:pPr>
      <w:r>
        <w:t xml:space="preserve">Où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est le plancher de bruit du récepteur, exprimé comme</w:t>
      </w:r>
    </w:p>
    <w:p w14:paraId="20327D3B" w14:textId="1F2C56D3" w:rsidR="00C17063" w:rsidRPr="0026097D" w:rsidRDefault="00C17063" w:rsidP="000F60A8">
      <w:pPr>
        <w:jc w:val="both"/>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0</m:t>
              </m:r>
            </m:sub>
          </m:sSub>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∆f</m:t>
          </m:r>
        </m:oMath>
      </m:oMathPara>
    </w:p>
    <w:p w14:paraId="030B99F3" w14:textId="68EC0307" w:rsidR="0026097D" w:rsidRDefault="0026097D" w:rsidP="000F60A8">
      <w:pPr>
        <w:jc w:val="both"/>
      </w:pPr>
      <w:r>
        <w:t xml:space="preserve">Avec </w:t>
      </w:r>
      <m:oMath>
        <m:r>
          <w:rPr>
            <w:rFonts w:ascii="Cambria Math" w:hAnsi="Cambria Math"/>
          </w:rPr>
          <m:t>k=1.38*</m:t>
        </m:r>
        <m:sSup>
          <m:sSupPr>
            <m:ctrlPr>
              <w:rPr>
                <w:rFonts w:ascii="Cambria Math" w:hAnsi="Cambria Math"/>
                <w:i/>
              </w:rPr>
            </m:ctrlPr>
          </m:sSupPr>
          <m:e>
            <m:r>
              <w:rPr>
                <w:rFonts w:ascii="Cambria Math" w:hAnsi="Cambria Math"/>
              </w:rPr>
              <m:t>10</m:t>
            </m:r>
          </m:e>
          <m:sup>
            <m:r>
              <w:rPr>
                <w:rFonts w:ascii="Cambria Math" w:hAnsi="Cambria Math"/>
              </w:rPr>
              <m:t>-23</m:t>
            </m:r>
          </m:sup>
        </m:sSup>
        <m:r>
          <w:rPr>
            <w:rFonts w:ascii="Cambria Math" w:hAnsi="Cambria Math"/>
          </w:rPr>
          <m:t>J/K</m:t>
        </m:r>
      </m:oMath>
      <w:r>
        <w:t xml:space="preserve"> la constante de Boltzmann,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sidR="006368CC">
        <w:t xml:space="preserve"> le facteur de bruit </w:t>
      </w:r>
      <w:r>
        <w:t xml:space="preserve">du récepteur, </w:t>
      </w:r>
      <w:commentRangeStart w:id="37"/>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 290 K la température de bruit en Kelvin</w:t>
      </w:r>
      <w:commentRangeEnd w:id="37"/>
      <w:r w:rsidR="00056420">
        <w:rPr>
          <w:rStyle w:val="Marquedecommentaire"/>
        </w:rPr>
        <w:commentReference w:id="37"/>
      </w:r>
      <w:r>
        <w:t xml:space="preserve"> et </w:t>
      </w:r>
      <m:oMath>
        <m:sSub>
          <m:sSubPr>
            <m:ctrlPr>
              <w:rPr>
                <w:rFonts w:ascii="Cambria Math" w:hAnsi="Cambria Math"/>
                <w:i/>
              </w:rPr>
            </m:ctrlPr>
          </m:sSubPr>
          <m:e>
            <m:r>
              <w:rPr>
                <w:rFonts w:ascii="Cambria Math" w:hAnsi="Cambria Math"/>
              </w:rPr>
              <m:t>∆</m:t>
            </m:r>
          </m:e>
          <m:sub>
            <m:r>
              <w:rPr>
                <w:rFonts w:ascii="Cambria Math" w:hAnsi="Cambria Math"/>
              </w:rPr>
              <m:t>f</m:t>
            </m:r>
          </m:sub>
        </m:sSub>
      </m:oMath>
      <w:r>
        <w:t xml:space="preserve"> la bande passante du système en Hertz.</w:t>
      </w:r>
    </w:p>
    <w:p w14:paraId="5D1FBD63" w14:textId="288E6612" w:rsidR="0026097D" w:rsidRDefault="0026097D" w:rsidP="000F60A8">
      <w:pPr>
        <w:jc w:val="both"/>
      </w:pPr>
      <w:r>
        <w:t xml:space="preserve">Et SNR est le rapport entre la puissance du signal reçu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t xml:space="preserve"> et le plancher de bruit du récepteur</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n</m:t>
            </m:r>
          </m:sub>
        </m:sSub>
      </m:oMath>
      <w:r>
        <w:t>, exprimé comme</w:t>
      </w:r>
    </w:p>
    <w:p w14:paraId="2B3401A1" w14:textId="006D49C1" w:rsidR="0026097D" w:rsidRPr="003F7474" w:rsidRDefault="0026097D" w:rsidP="000F60A8">
      <w:pPr>
        <w:jc w:val="both"/>
      </w:pPr>
      <m:oMathPara>
        <m:oMath>
          <m:r>
            <w:rPr>
              <w:rFonts w:ascii="Cambria Math" w:hAnsi="Cambria Math"/>
            </w:rPr>
            <m:t>SNR=10</m:t>
          </m:r>
          <m:r>
            <m:rPr>
              <m:sty m:val="p"/>
            </m:rPr>
            <w:rPr>
              <w:rFonts w:ascii="Cambria Math" w:hAnsi="Cambria Math"/>
            </w:rPr>
            <m:t>log⁡</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sSub>
                <m:sSubPr>
                  <m:ctrlPr>
                    <w:rPr>
                      <w:rFonts w:ascii="Cambria Math" w:hAnsi="Cambria Math"/>
                      <w:i/>
                    </w:rPr>
                  </m:ctrlPr>
                </m:sSubPr>
                <m:e>
                  <m:r>
                    <w:rPr>
                      <w:rFonts w:ascii="Cambria Math" w:hAnsi="Cambria Math"/>
                    </w:rPr>
                    <m:t>P</m:t>
                  </m:r>
                </m:e>
                <m:sub>
                  <m:r>
                    <w:rPr>
                      <w:rFonts w:ascii="Cambria Math" w:hAnsi="Cambria Math"/>
                    </w:rPr>
                    <m:t>n</m:t>
                  </m:r>
                </m:sub>
              </m:sSub>
            </m:den>
          </m:f>
          <m:r>
            <w:rPr>
              <w:rFonts w:ascii="Cambria Math" w:hAnsi="Cambria Math"/>
            </w:rPr>
            <m:t>)</m:t>
          </m:r>
        </m:oMath>
      </m:oMathPara>
    </w:p>
    <w:p w14:paraId="5F06C26D" w14:textId="0857E8D8" w:rsidR="003F7474" w:rsidRDefault="003F7474" w:rsidP="000F60A8">
      <w:pPr>
        <w:jc w:val="both"/>
      </w:pPr>
      <w:r>
        <w:t>La sensibilité permet également de déterminer la distance maximale entre l’émetteur et le récepteur pour pouvoir détecter le signal. La puissa</w:t>
      </w:r>
      <w:r w:rsidR="00F9511E">
        <w:t>nce</w:t>
      </w:r>
      <w:r>
        <w:t xml:space="preserve"> reçue par le récepteur</w:t>
      </w:r>
      <w:r w:rsidR="00F9511E">
        <w:t xml:space="preserve"> </w:t>
      </w:r>
      <m:oMath>
        <m:sSub>
          <m:sSubPr>
            <m:ctrlPr>
              <w:rPr>
                <w:rFonts w:ascii="Cambria Math" w:hAnsi="Cambria Math"/>
                <w:i/>
              </w:rPr>
            </m:ctrlPr>
          </m:sSubPr>
          <m:e>
            <m:r>
              <w:rPr>
                <w:rFonts w:ascii="Cambria Math" w:hAnsi="Cambria Math"/>
              </w:rPr>
              <m:t>P</m:t>
            </m:r>
          </m:e>
          <m:sub>
            <m:r>
              <w:rPr>
                <w:rFonts w:ascii="Cambria Math" w:hAnsi="Cambria Math"/>
              </w:rPr>
              <m:t>ant</m:t>
            </m:r>
          </m:sub>
        </m:sSub>
      </m:oMath>
      <w:r>
        <w:t xml:space="preserve"> via une onde se propageant en espace libre est décrit par la formule de Friis</w:t>
      </w:r>
    </w:p>
    <w:p w14:paraId="65602333" w14:textId="70F2FDAA" w:rsidR="003F7474" w:rsidRPr="003F7474" w:rsidRDefault="003F7474" w:rsidP="000F60A8">
      <w:pPr>
        <w:jc w:val="both"/>
      </w:pPr>
      <m:oMathPara>
        <m:oMath>
          <m:sSub>
            <m:sSubPr>
              <m:ctrlPr>
                <w:rPr>
                  <w:rFonts w:ascii="Cambria Math" w:hAnsi="Cambria Math"/>
                  <w:i/>
                </w:rPr>
              </m:ctrlPr>
            </m:sSubPr>
            <m:e>
              <m:r>
                <w:rPr>
                  <w:rFonts w:ascii="Cambria Math" w:hAnsi="Cambria Math"/>
                </w:rPr>
                <m:t>P</m:t>
              </m:r>
            </m:e>
            <m:sub>
              <m:r>
                <w:rPr>
                  <w:rFonts w:ascii="Cambria Math" w:hAnsi="Cambria Math"/>
                </w:rPr>
                <m:t>ant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sSub>
                <m:sSubPr>
                  <m:ctrlPr>
                    <w:rPr>
                      <w:rFonts w:ascii="Cambria Math" w:hAnsi="Cambria Math"/>
                      <w:i/>
                    </w:rPr>
                  </m:ctrlPr>
                </m:sSubPr>
                <m:e>
                  <m:r>
                    <w:rPr>
                      <w:rFonts w:ascii="Cambria Math" w:hAnsi="Cambria Math"/>
                    </w:rPr>
                    <m:t>G</m:t>
                  </m:r>
                </m:e>
                <m:sub>
                  <m:r>
                    <w:rPr>
                      <w:rFonts w:ascii="Cambria Math" w:hAnsi="Cambria Math"/>
                    </w:rPr>
                    <m:t>e</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34FA4C08" w14:textId="2E130A83" w:rsidR="003F7474" w:rsidRDefault="003F7474" w:rsidP="000F60A8">
      <w:pPr>
        <w:jc w:val="both"/>
      </w:pPr>
      <w:r>
        <w:t xml:space="preserve">Avec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t xml:space="preserve"> la puissance en entrée de l’antenne émettrice, </w:t>
      </w:r>
      <m:oMath>
        <m:sSub>
          <m:sSubPr>
            <m:ctrlPr>
              <w:rPr>
                <w:rFonts w:ascii="Cambria Math" w:hAnsi="Cambria Math"/>
                <w:i/>
              </w:rPr>
            </m:ctrlPr>
          </m:sSubPr>
          <m:e>
            <m:r>
              <w:rPr>
                <w:rFonts w:ascii="Cambria Math" w:hAnsi="Cambria Math"/>
              </w:rPr>
              <m:t>G</m:t>
            </m:r>
          </m:e>
          <m:sub>
            <m:r>
              <w:rPr>
                <w:rFonts w:ascii="Cambria Math" w:hAnsi="Cambria Math"/>
              </w:rPr>
              <m:t>e</m:t>
            </m:r>
          </m:sub>
        </m:sSub>
      </m:oMath>
      <w:r>
        <w:t xml:space="preserve"> le gain de l’émetteur, </w:t>
      </w:r>
      <m:oMath>
        <m:sSub>
          <m:sSubPr>
            <m:ctrlPr>
              <w:rPr>
                <w:rFonts w:ascii="Cambria Math" w:hAnsi="Cambria Math"/>
                <w:i/>
              </w:rPr>
            </m:ctrlPr>
          </m:sSubPr>
          <m:e>
            <m:r>
              <w:rPr>
                <w:rFonts w:ascii="Cambria Math" w:hAnsi="Cambria Math"/>
              </w:rPr>
              <m:t>G</m:t>
            </m:r>
          </m:e>
          <m:sub>
            <m:r>
              <w:rPr>
                <w:rFonts w:ascii="Cambria Math" w:hAnsi="Cambria Math"/>
              </w:rPr>
              <m:t>r</m:t>
            </m:r>
          </m:sub>
        </m:sSub>
      </m:oMath>
      <w:r>
        <w:t xml:space="preserve"> le gain du récepteur et </w:t>
      </w:r>
      <w:r w:rsidRPr="003F7474">
        <w:rPr>
          <w:i/>
        </w:rPr>
        <w:t>r</w:t>
      </w:r>
      <w:r>
        <w:t xml:space="preserve"> la distance entre les deux antennes. </w:t>
      </w:r>
      <w:r w:rsidR="00F9511E">
        <w:t xml:space="preserve">Cette formule suppose que la distance entre les deux antennes soit supérieure à la distance de Fraunhofer </w:t>
      </w:r>
      <m:oMath>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λ</m:t>
            </m:r>
          </m:den>
        </m:f>
      </m:oMath>
      <w:r w:rsidR="00F9511E">
        <w:t xml:space="preserve"> (avec D le plus grand diamètre des deux antennes) et que l’onde reçue par le récepteur soit en onde plane. </w:t>
      </w:r>
      <w:r w:rsidR="00C6055D">
        <w:t xml:space="preserve">La distance limite </w:t>
      </w:r>
      <m:oMath>
        <m:sSub>
          <m:sSubPr>
            <m:ctrlPr>
              <w:rPr>
                <w:rFonts w:ascii="Cambria Math" w:hAnsi="Cambria Math"/>
                <w:i/>
              </w:rPr>
            </m:ctrlPr>
          </m:sSubPr>
          <m:e>
            <m:r>
              <w:rPr>
                <w:rFonts w:ascii="Cambria Math" w:hAnsi="Cambria Math"/>
              </w:rPr>
              <m:t>r</m:t>
            </m:r>
          </m:e>
          <m:sub>
            <m:r>
              <w:rPr>
                <w:rFonts w:ascii="Cambria Math" w:hAnsi="Cambria Math"/>
              </w:rPr>
              <m:t>max</m:t>
            </m:r>
          </m:sub>
        </m:sSub>
      </m:oMath>
      <w:r w:rsidR="00C6055D">
        <w:t xml:space="preserve"> est atteinte lorsque la densité de puissance du signal incident est égale à la sensibilité, c’est-à-dire</w:t>
      </w:r>
    </w:p>
    <w:p w14:paraId="26372F01" w14:textId="5A9A6BC4" w:rsidR="00C6055D" w:rsidRPr="00E05E76" w:rsidRDefault="00C6055D" w:rsidP="000F60A8">
      <w:pPr>
        <w:jc w:val="both"/>
      </w:pPr>
      <m:oMathPara>
        <m:oMath>
          <m:sSub>
            <m:sSubPr>
              <m:ctrlPr>
                <w:rPr>
                  <w:rFonts w:ascii="Cambria Math" w:hAnsi="Cambria Math"/>
                  <w:i/>
                </w:rPr>
              </m:ctrlPr>
            </m:sSubPr>
            <m:e>
              <m:r>
                <w:rPr>
                  <w:rFonts w:ascii="Cambria Math" w:hAnsi="Cambria Math"/>
                </w:rPr>
                <m:t>r</m:t>
              </m:r>
            </m:e>
            <m:sub>
              <m:r>
                <w:rPr>
                  <w:rFonts w:ascii="Cambria Math" w:hAnsi="Cambria Math"/>
                </w:rPr>
                <m:t>max</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sSub>
                    <m:sSubPr>
                      <m:ctrlPr>
                        <w:rPr>
                          <w:rFonts w:ascii="Cambria Math" w:hAnsi="Cambria Math"/>
                          <w:i/>
                        </w:rPr>
                      </m:ctrlPr>
                    </m:sSubPr>
                    <m:e>
                      <m:r>
                        <w:rPr>
                          <w:rFonts w:ascii="Cambria Math" w:hAnsi="Cambria Math"/>
                        </w:rPr>
                        <m:t>G</m:t>
                      </m:r>
                    </m:e>
                    <m:sub>
                      <m:r>
                        <w:rPr>
                          <w:rFonts w:ascii="Cambria Math" w:hAnsi="Cambria Math"/>
                        </w:rPr>
                        <m:t>e</m:t>
                      </m:r>
                    </m:sub>
                  </m:sSub>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λ²</m:t>
                  </m:r>
                </m:num>
                <m:den>
                  <m:r>
                    <w:rPr>
                      <w:rFonts w:ascii="Cambria Math" w:hAnsi="Cambria Math"/>
                    </w:rPr>
                    <m:t>(4π)²</m:t>
                  </m:r>
                  <m:sSub>
                    <m:sSubPr>
                      <m:ctrlPr>
                        <w:rPr>
                          <w:rFonts w:ascii="Cambria Math" w:hAnsi="Cambria Math"/>
                          <w:i/>
                        </w:rPr>
                      </m:ctrlPr>
                    </m:sSubPr>
                    <m:e>
                      <m:r>
                        <w:rPr>
                          <w:rFonts w:ascii="Cambria Math" w:hAnsi="Cambria Math"/>
                        </w:rPr>
                        <m:t>P</m:t>
                      </m:r>
                    </m:e>
                    <m:sub>
                      <m:r>
                        <w:rPr>
                          <w:rFonts w:ascii="Cambria Math" w:hAnsi="Cambria Math"/>
                        </w:rPr>
                        <m:t>sensi</m:t>
                      </m:r>
                    </m:sub>
                  </m:sSub>
                </m:den>
              </m:f>
            </m:e>
          </m:rad>
        </m:oMath>
      </m:oMathPara>
    </w:p>
    <w:p w14:paraId="05062C23" w14:textId="225E65F7" w:rsidR="00256711" w:rsidRDefault="00256711" w:rsidP="000F60A8">
      <w:pPr>
        <w:pStyle w:val="Titre3"/>
        <w:jc w:val="both"/>
      </w:pPr>
      <w:bookmarkStart w:id="38" w:name="_Toc104886665"/>
      <w:r>
        <w:t>Robustesse</w:t>
      </w:r>
      <w:bookmarkEnd w:id="38"/>
    </w:p>
    <w:p w14:paraId="12277D0B" w14:textId="2EAFCCE8" w:rsidR="00EA4292" w:rsidRDefault="00963FD7" w:rsidP="000F60A8">
      <w:pPr>
        <w:jc w:val="both"/>
      </w:pPr>
      <w:r>
        <w:t>La réponse d’un système goniométrique peut être affectée par plusieurs points, pouvant dégrader de manière non négligeable sa performance. C’est le cas de l’apparition d’ambiguïté, du décalage entre les polarisations et des signaux multitrajets.</w:t>
      </w:r>
    </w:p>
    <w:p w14:paraId="2954BA1F" w14:textId="69D302F2" w:rsidR="00963FD7" w:rsidRDefault="00963FD7" w:rsidP="000F60A8">
      <w:pPr>
        <w:pStyle w:val="Titre4"/>
        <w:jc w:val="both"/>
      </w:pPr>
      <w:r>
        <w:t>Robustesse à l’ambiguïté</w:t>
      </w:r>
    </w:p>
    <w:p w14:paraId="4E930D83" w14:textId="5AE7BE82" w:rsidR="00FE2A0D" w:rsidRDefault="00FE2A0D" w:rsidP="000F60A8">
      <w:pPr>
        <w:jc w:val="both"/>
      </w:pPr>
      <w:r>
        <w:t>Dans le cas de l’interférométrie, la goniométrie est réalisée en calculant la différence de phase entre plusieurs antennes via l’équation</w:t>
      </w:r>
    </w:p>
    <w:p w14:paraId="692EFFA6" w14:textId="77777777" w:rsidR="00AA0001" w:rsidRPr="00B87D24" w:rsidRDefault="00AA0001" w:rsidP="000F60A8">
      <w:pPr>
        <w:jc w:val="both"/>
        <w:rPr>
          <w:rFonts w:eastAsiaTheme="minorEastAsia"/>
        </w:rPr>
      </w:pPr>
      <m:oMathPara>
        <m:oMath>
          <m:r>
            <w:rPr>
              <w:rFonts w:ascii="Cambria Math" w:hAnsi="Cambria Math"/>
            </w:rPr>
            <m:t>θ=</m:t>
          </m:r>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r>
                    <w:rPr>
                      <w:rFonts w:ascii="Cambria Math" w:hAnsi="Cambria Math"/>
                    </w:rPr>
                    <m:t>δφ*</m:t>
                  </m:r>
                  <m:f>
                    <m:fPr>
                      <m:ctrlPr>
                        <w:rPr>
                          <w:rFonts w:ascii="Cambria Math" w:hAnsi="Cambria Math"/>
                          <w:i/>
                        </w:rPr>
                      </m:ctrlPr>
                    </m:fPr>
                    <m:num>
                      <m:r>
                        <w:rPr>
                          <w:rFonts w:ascii="Cambria Math" w:hAnsi="Cambria Math"/>
                        </w:rPr>
                        <m:t>λ</m:t>
                      </m:r>
                    </m:num>
                    <m:den>
                      <m:r>
                        <w:rPr>
                          <w:rFonts w:ascii="Cambria Math" w:hAnsi="Cambria Math"/>
                        </w:rPr>
                        <m:t>2π*d</m:t>
                      </m:r>
                    </m:den>
                  </m:f>
                </m:e>
              </m:d>
            </m:e>
          </m:func>
        </m:oMath>
      </m:oMathPara>
    </w:p>
    <w:p w14:paraId="6EF9B785" w14:textId="4890CC6C" w:rsidR="00AA0001" w:rsidRDefault="00AA0001" w:rsidP="000F60A8">
      <w:pPr>
        <w:jc w:val="both"/>
        <w:rPr>
          <w:noProof/>
          <w:lang w:eastAsia="fr-FR"/>
        </w:rPr>
      </w:pPr>
      <w:r>
        <w:rPr>
          <w:noProof/>
          <w:lang w:eastAsia="fr-FR"/>
        </w:rPr>
        <w:t xml:space="preserve">Cependant, cette équation étant périodique, on obtient une infinité de solution, appelées ambiguïtés. Afin d’obtenir une seule solution, il nécessaire que la distance entre les antennes </w:t>
      </w:r>
      <w:r w:rsidRPr="00F54830">
        <w:rPr>
          <w:i/>
          <w:noProof/>
          <w:lang w:eastAsia="fr-FR"/>
        </w:rPr>
        <w:t>d</w:t>
      </w:r>
      <w:r>
        <w:rPr>
          <w:noProof/>
          <w:lang w:eastAsia="fr-FR"/>
        </w:rPr>
        <w:t xml:space="preserve"> soit </w:t>
      </w:r>
      <w:r>
        <w:rPr>
          <w:noProof/>
          <w:lang w:eastAsia="fr-FR"/>
        </w:rPr>
        <w:t>inférieure ou égale à une demi longueur d’onde.</w:t>
      </w:r>
      <w:r>
        <w:rPr>
          <w:noProof/>
          <w:lang w:eastAsia="fr-FR"/>
        </w:rPr>
        <w:t xml:space="preserve"> Cette solution est difficile à obtenir étant donné qu’à des fréquences élevées, cette di</w:t>
      </w:r>
      <w:r w:rsidR="00784020">
        <w:rPr>
          <w:noProof/>
          <w:lang w:eastAsia="fr-FR"/>
        </w:rPr>
        <w:t xml:space="preserve">stance est physiquement petite. </w:t>
      </w:r>
      <w:r>
        <w:rPr>
          <w:noProof/>
          <w:lang w:eastAsia="fr-FR"/>
        </w:rPr>
        <w:t>Toutefois le fait de réduire la distance</w:t>
      </w:r>
      <w:r w:rsidRPr="00F54830">
        <w:rPr>
          <w:i/>
          <w:noProof/>
          <w:lang w:eastAsia="fr-FR"/>
        </w:rPr>
        <w:t xml:space="preserve"> d</w:t>
      </w:r>
      <w:r>
        <w:rPr>
          <w:noProof/>
          <w:lang w:eastAsia="fr-FR"/>
        </w:rPr>
        <w:t xml:space="preserve"> va di</w:t>
      </w:r>
      <w:r w:rsidR="00784020">
        <w:rPr>
          <w:noProof/>
          <w:lang w:eastAsia="fr-FR"/>
        </w:rPr>
        <w:t xml:space="preserve">minuer la précision du système </w:t>
      </w:r>
      <w:commentRangeStart w:id="39"/>
      <w:r w:rsidR="00784020">
        <w:rPr>
          <w:noProof/>
          <w:lang w:eastAsia="fr-FR"/>
        </w:rPr>
        <w:t>[Ref</w:t>
      </w:r>
      <w:commentRangeEnd w:id="39"/>
      <w:r w:rsidR="00784020">
        <w:rPr>
          <w:rStyle w:val="Marquedecommentaire"/>
        </w:rPr>
        <w:commentReference w:id="39"/>
      </w:r>
      <w:r w:rsidR="00784020">
        <w:rPr>
          <w:noProof/>
          <w:lang w:eastAsia="fr-FR"/>
        </w:rPr>
        <w:t xml:space="preserve">], </w:t>
      </w:r>
      <w:r w:rsidR="00F54830">
        <w:rPr>
          <w:noProof/>
          <w:lang w:eastAsia="fr-FR"/>
        </w:rPr>
        <w:t>pouvant être problématique.</w:t>
      </w:r>
    </w:p>
    <w:p w14:paraId="7D025EBA" w14:textId="73B6C492" w:rsidR="00AA0001" w:rsidRDefault="00AA0001" w:rsidP="000F60A8">
      <w:pPr>
        <w:jc w:val="both"/>
        <w:rPr>
          <w:noProof/>
          <w:lang w:eastAsia="fr-FR"/>
        </w:rPr>
      </w:pPr>
      <w:r>
        <w:rPr>
          <w:noProof/>
          <w:lang w:eastAsia="fr-FR"/>
        </w:rPr>
        <w:t>Nous avons vu dans le</w:t>
      </w:r>
      <w:r w:rsidR="0069342C">
        <w:rPr>
          <w:noProof/>
          <w:lang w:eastAsia="fr-FR"/>
        </w:rPr>
        <w:t xml:space="preserve"> chapitre</w:t>
      </w:r>
      <w:r>
        <w:rPr>
          <w:noProof/>
          <w:lang w:eastAsia="fr-FR"/>
        </w:rPr>
        <w:t xml:space="preserve"> « Méthodes hybrides » qu’il était possible de réduire ces ambiguïtés à l’aide d’une méthode combinant de la goniométrie de phase et d’amplitude. Une autre méthode est d’utiliser un</w:t>
      </w:r>
      <w:r>
        <w:rPr>
          <w:noProof/>
          <w:lang w:eastAsia="fr-FR"/>
        </w:rPr>
        <w:t xml:space="preserve"> système de 3 antenn</w:t>
      </w:r>
      <w:r w:rsidR="00784020">
        <w:rPr>
          <w:noProof/>
          <w:lang w:eastAsia="fr-FR"/>
        </w:rPr>
        <w:t>es ou plus, chaque doublet d’antenne étant</w:t>
      </w:r>
      <w:r>
        <w:rPr>
          <w:noProof/>
          <w:lang w:eastAsia="fr-FR"/>
        </w:rPr>
        <w:t xml:space="preserve"> séparé d’une distance </w:t>
      </w:r>
      <w:r w:rsidRPr="00784020">
        <w:rPr>
          <w:i/>
          <w:noProof/>
          <w:lang w:eastAsia="fr-FR"/>
        </w:rPr>
        <w:t>d</w:t>
      </w:r>
      <w:r>
        <w:rPr>
          <w:noProof/>
          <w:lang w:eastAsia="fr-FR"/>
        </w:rPr>
        <w:t xml:space="preserve"> </w:t>
      </w:r>
      <w:r>
        <w:rPr>
          <w:noProof/>
          <w:lang w:eastAsia="fr-FR"/>
        </w:rPr>
        <w:lastRenderedPageBreak/>
        <w:t xml:space="preserve">différente d’un autre doublet. </w:t>
      </w:r>
      <w:r w:rsidR="00784020">
        <w:rPr>
          <w:noProof/>
          <w:lang w:eastAsia="fr-FR"/>
        </w:rPr>
        <w:t>Cette méthode permet d’obtenir une bonne précision via les antennes largement espacées.</w:t>
      </w:r>
    </w:p>
    <w:p w14:paraId="173DB4C6" w14:textId="77777777" w:rsidR="00A20053" w:rsidRDefault="00AA0001" w:rsidP="00F54830">
      <w:pPr>
        <w:keepNext/>
        <w:jc w:val="center"/>
      </w:pPr>
      <w:r>
        <w:rPr>
          <w:noProof/>
          <w:lang w:eastAsia="fr-FR"/>
        </w:rPr>
        <w:drawing>
          <wp:inline distT="0" distB="0" distL="0" distR="0" wp14:anchorId="49FA8C3D" wp14:editId="5AE4E71B">
            <wp:extent cx="3133725" cy="25431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1589"/>
                    <a:stretch/>
                  </pic:blipFill>
                  <pic:spPr bwMode="auto">
                    <a:xfrm>
                      <a:off x="0" y="0"/>
                      <a:ext cx="3133725" cy="2543175"/>
                    </a:xfrm>
                    <a:prstGeom prst="rect">
                      <a:avLst/>
                    </a:prstGeom>
                    <a:ln>
                      <a:noFill/>
                    </a:ln>
                    <a:extLst>
                      <a:ext uri="{53640926-AAD7-44D8-BBD7-CCE9431645EC}">
                        <a14:shadowObscured xmlns:a14="http://schemas.microsoft.com/office/drawing/2010/main"/>
                      </a:ext>
                    </a:extLst>
                  </pic:spPr>
                </pic:pic>
              </a:graphicData>
            </a:graphic>
          </wp:inline>
        </w:drawing>
      </w:r>
    </w:p>
    <w:p w14:paraId="5EF8F7AF" w14:textId="485C2E3A" w:rsidR="00AA0001" w:rsidRDefault="00A20053" w:rsidP="00F54830">
      <w:pPr>
        <w:pStyle w:val="Lgende"/>
        <w:jc w:val="center"/>
      </w:pPr>
      <w:r>
        <w:t xml:space="preserve">Figure </w:t>
      </w:r>
      <w:r>
        <w:fldChar w:fldCharType="begin"/>
      </w:r>
      <w:r>
        <w:instrText xml:space="preserve"> SEQ Figure \* ARABIC </w:instrText>
      </w:r>
      <w:r>
        <w:fldChar w:fldCharType="separate"/>
      </w:r>
      <w:r w:rsidR="00F54830">
        <w:rPr>
          <w:noProof/>
        </w:rPr>
        <w:t>16</w:t>
      </w:r>
      <w:r>
        <w:fldChar w:fldCharType="end"/>
      </w:r>
      <w:r>
        <w:t xml:space="preserve"> : Interféromètre à 3 éléments séparés de distances inhomogènes</w:t>
      </w:r>
    </w:p>
    <w:p w14:paraId="0BBFFF73" w14:textId="61F201FC" w:rsidR="00E438D2" w:rsidRDefault="00E438D2" w:rsidP="000F60A8">
      <w:pPr>
        <w:jc w:val="both"/>
      </w:pPr>
      <w:r>
        <w:t xml:space="preserve">Un autre type d’ambiguïté peut apparaître lorsque plusieurs ondes avec un angle d’incidence très proche sont </w:t>
      </w:r>
      <w:r w:rsidR="007F0E38">
        <w:t>reçues</w:t>
      </w:r>
      <w:r>
        <w:t xml:space="preserve"> par le goniomètre. </w:t>
      </w:r>
      <w:r w:rsidR="00162323">
        <w:t>Cette ambiguïté dépend du pouvoir séparateur du réseau, correspondant au fait de détecter de discriminer des angles d’arrivés très proches.</w:t>
      </w:r>
    </w:p>
    <w:p w14:paraId="25A294B1" w14:textId="28EFB1F1" w:rsidR="00AA0001" w:rsidRDefault="00162323" w:rsidP="000F60A8">
      <w:pPr>
        <w:pStyle w:val="Titre4"/>
        <w:jc w:val="both"/>
      </w:pPr>
      <w:r>
        <w:t>R</w:t>
      </w:r>
      <w:r w:rsidR="00A20053">
        <w:t xml:space="preserve">obustesse au décalage entre </w:t>
      </w:r>
      <w:r>
        <w:t>polarisation</w:t>
      </w:r>
    </w:p>
    <w:p w14:paraId="3D6A5249" w14:textId="78150087" w:rsidR="007F0E38" w:rsidRPr="007F0E38" w:rsidRDefault="00A20053" w:rsidP="000F60A8">
      <w:pPr>
        <w:jc w:val="both"/>
      </w:pPr>
      <w:r>
        <w:t>Ce problème concerne les goniomètres fonctionnant avec une seule polarisation, qui est majoritairement verticale comme pour les systèmes Doppler ou bien Watson-Watt. En effet, un décalage en polarisation aura pour conséquence de réduire la précision de l’estimation de l’angle d’arrivé, ou au pire de ne pas pouvoir détecter ce signal. En conséquence, les systèmes utilisés au-delà de la bande UHF sont à polarisation circulaire ou bien double polarisation. La polarisation circulaire a pour défaut de ne pas détecter la polarisation circulaire inverse (gauche ou droite), tandis qu’un système à double polarisation peut détecter n’importe quel type de polarisation.</w:t>
      </w:r>
    </w:p>
    <w:p w14:paraId="520941B3" w14:textId="5B3F0165" w:rsidR="00162323" w:rsidRDefault="00162323" w:rsidP="000F60A8">
      <w:pPr>
        <w:pStyle w:val="Titre4"/>
        <w:jc w:val="both"/>
      </w:pPr>
      <w:r>
        <w:t>Robustesse aux multi trajets</w:t>
      </w:r>
    </w:p>
    <w:p w14:paraId="24408BC6" w14:textId="28653376" w:rsidR="00162323" w:rsidRDefault="005E73B6" w:rsidP="000F60A8">
      <w:pPr>
        <w:jc w:val="both"/>
      </w:pPr>
      <w:r>
        <w:t>Dans des conditions réelles, les signaux émit peuvent être soumis à des phénomènes de réflexion, diffraction</w:t>
      </w:r>
      <w:r w:rsidR="00A5368C">
        <w:t xml:space="preserve"> via les différents obstacles rencontrés,</w:t>
      </w:r>
      <w:r>
        <w:t xml:space="preserve"> créant des signaux multi trajets. Cette propagation en multi trajet a pour conséquence de dégrader les performances de la goniométrie [</w:t>
      </w:r>
      <w:commentRangeStart w:id="40"/>
      <w:r>
        <w:t>Ref</w:t>
      </w:r>
      <w:commentRangeEnd w:id="40"/>
      <w:r>
        <w:rPr>
          <w:rStyle w:val="Marquedecommentaire"/>
        </w:rPr>
        <w:commentReference w:id="40"/>
      </w:r>
      <w:r>
        <w:t>].</w:t>
      </w:r>
      <w:r w:rsidR="00A5368C">
        <w:t xml:space="preserve"> </w:t>
      </w:r>
      <w:r w:rsidR="008A77C8">
        <w:t>L</w:t>
      </w:r>
      <w:r w:rsidR="00A5368C">
        <w:t>e signal reçu par le goniomètre est</w:t>
      </w:r>
      <w:r w:rsidR="008A77C8">
        <w:t xml:space="preserve"> alors</w:t>
      </w:r>
      <w:r w:rsidR="00A5368C">
        <w:t xml:space="preserve"> une combinaison de signaux diffus</w:t>
      </w:r>
      <w:r w:rsidR="008A77C8">
        <w:t>, s’étant propagés à travers un continuum de diffuseurs (comme des gouttes de pluie ou du brouillard), et arrive sur le récepteur sous la forme de plusieurs ondes incidentes formant un cône. L’estimation de l’angle d’arrivé d’une telle source est alors caractérisé par sa direction moyenne et également par la largeur du cône de diffusion [</w:t>
      </w:r>
      <w:commentRangeStart w:id="41"/>
      <w:r w:rsidR="008A77C8">
        <w:t>Ref</w:t>
      </w:r>
      <w:commentRangeEnd w:id="41"/>
      <w:r w:rsidR="008A77C8">
        <w:rPr>
          <w:rStyle w:val="Marquedecommentaire"/>
        </w:rPr>
        <w:commentReference w:id="41"/>
      </w:r>
      <w:r w:rsidR="008A77C8">
        <w:t>].</w:t>
      </w:r>
    </w:p>
    <w:p w14:paraId="3D64779A" w14:textId="77777777" w:rsidR="008A77C8" w:rsidRDefault="008A77C8" w:rsidP="00F54830">
      <w:pPr>
        <w:keepNext/>
        <w:jc w:val="center"/>
      </w:pPr>
      <w:r>
        <w:rPr>
          <w:noProof/>
          <w:lang w:eastAsia="fr-FR"/>
        </w:rPr>
        <w:lastRenderedPageBreak/>
        <w:drawing>
          <wp:inline distT="0" distB="0" distL="0" distR="0" wp14:anchorId="300817DA" wp14:editId="17BC0834">
            <wp:extent cx="3533775" cy="2105025"/>
            <wp:effectExtent l="0" t="0" r="9525" b="9525"/>
            <wp:docPr id="764498592" name="Image 76449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b="17228"/>
                    <a:stretch/>
                  </pic:blipFill>
                  <pic:spPr bwMode="auto">
                    <a:xfrm>
                      <a:off x="0" y="0"/>
                      <a:ext cx="3533775" cy="2105025"/>
                    </a:xfrm>
                    <a:prstGeom prst="rect">
                      <a:avLst/>
                    </a:prstGeom>
                    <a:ln>
                      <a:noFill/>
                    </a:ln>
                    <a:extLst>
                      <a:ext uri="{53640926-AAD7-44D8-BBD7-CCE9431645EC}">
                        <a14:shadowObscured xmlns:a14="http://schemas.microsoft.com/office/drawing/2010/main"/>
                      </a:ext>
                    </a:extLst>
                  </pic:spPr>
                </pic:pic>
              </a:graphicData>
            </a:graphic>
          </wp:inline>
        </w:drawing>
      </w:r>
    </w:p>
    <w:p w14:paraId="387B8D04" w14:textId="0B68ADF7" w:rsidR="008A77C8" w:rsidRDefault="008A77C8" w:rsidP="00F54830">
      <w:pPr>
        <w:pStyle w:val="Lgende"/>
        <w:jc w:val="center"/>
      </w:pPr>
      <w:r>
        <w:t xml:space="preserve">Figure </w:t>
      </w:r>
      <w:r>
        <w:fldChar w:fldCharType="begin"/>
      </w:r>
      <w:r>
        <w:instrText xml:space="preserve"> SEQ Figure \* ARABIC </w:instrText>
      </w:r>
      <w:r>
        <w:fldChar w:fldCharType="separate"/>
      </w:r>
      <w:r w:rsidR="00F54830">
        <w:rPr>
          <w:noProof/>
        </w:rPr>
        <w:t>17</w:t>
      </w:r>
      <w:r>
        <w:fldChar w:fldCharType="end"/>
      </w:r>
      <w:r>
        <w:t xml:space="preserve"> : Source émettant dans un cône de diffusion dû à la neige</w:t>
      </w:r>
      <w:commentRangeStart w:id="42"/>
      <w:r>
        <w:t>, [Ref]</w:t>
      </w:r>
      <w:commentRangeEnd w:id="42"/>
      <w:r>
        <w:rPr>
          <w:rStyle w:val="Marquedecommentaire"/>
          <w:i w:val="0"/>
          <w:iCs w:val="0"/>
          <w:color w:val="auto"/>
        </w:rPr>
        <w:commentReference w:id="42"/>
      </w:r>
    </w:p>
    <w:p w14:paraId="4F079451" w14:textId="516197D4" w:rsidR="007B3461" w:rsidRDefault="007B3461" w:rsidP="000F60A8">
      <w:pPr>
        <w:pStyle w:val="Titre2"/>
        <w:jc w:val="both"/>
      </w:pPr>
      <w:bookmarkStart w:id="43" w:name="_Toc104886666"/>
      <w:r>
        <w:t>Antennes à applicatif</w:t>
      </w:r>
      <w:r w:rsidR="00471B85">
        <w:t xml:space="preserve"> goniométrique</w:t>
      </w:r>
      <w:r>
        <w:t xml:space="preserve"> dans la littérature</w:t>
      </w:r>
      <w:bookmarkEnd w:id="43"/>
    </w:p>
    <w:p w14:paraId="09E8B7A5" w14:textId="286385B4" w:rsidR="00571A83" w:rsidRDefault="001715BA" w:rsidP="000F60A8">
      <w:pPr>
        <w:jc w:val="both"/>
      </w:pPr>
      <w:r>
        <w:t>Dans l’architecture du système goniométrique, l’antenne est le premier élément</w:t>
      </w:r>
      <w:r w:rsidR="007C229C">
        <w:t xml:space="preserve"> et </w:t>
      </w:r>
      <w:r>
        <w:t>nécessite d’</w:t>
      </w:r>
      <w:r w:rsidR="00CA476C">
        <w:t xml:space="preserve">être conçu avec précision de manière à éviter les erreurs qui pourraient se répercuter </w:t>
      </w:r>
      <w:r w:rsidR="007E11F3">
        <w:t xml:space="preserve">dans </w:t>
      </w:r>
      <w:r w:rsidR="00757723">
        <w:t>la suite</w:t>
      </w:r>
      <w:r w:rsidR="007E11F3">
        <w:t xml:space="preserve"> du</w:t>
      </w:r>
      <w:r w:rsidR="00CA476C">
        <w:t xml:space="preserve"> système.</w:t>
      </w:r>
      <w:r w:rsidR="00757723">
        <w:t xml:space="preserve"> N</w:t>
      </w:r>
      <w:r w:rsidR="00D47CA5">
        <w:t>ous avons précédemment évoqué</w:t>
      </w:r>
      <w:r w:rsidR="00757723">
        <w:t xml:space="preserve"> les antennes</w:t>
      </w:r>
      <w:r w:rsidR="004C68F1">
        <w:t xml:space="preserve"> possédant un diagramme omnidirectionnel comme les monopôles, dipôles,</w:t>
      </w:r>
      <w:r w:rsidR="00757723">
        <w:t xml:space="preserve"> boucles croisés et Adcock, utilisées </w:t>
      </w:r>
      <w:r w:rsidR="00216F37">
        <w:t xml:space="preserve">notamment </w:t>
      </w:r>
      <w:r w:rsidR="00757723">
        <w:t>pour la comparaison d’amplitude</w:t>
      </w:r>
      <w:r w:rsidR="00FE5615">
        <w:t>. Dans la littérature, plusieurs</w:t>
      </w:r>
      <w:r w:rsidR="00FF1F41">
        <w:t xml:space="preserve"> autres</w:t>
      </w:r>
      <w:r w:rsidR="00FE5615">
        <w:t xml:space="preserve"> topologies d’antennes sont utilisées pour répondre à une application de radiogoniométrie, </w:t>
      </w:r>
      <w:r w:rsidR="00B26D75">
        <w:t xml:space="preserve">comme </w:t>
      </w:r>
      <w:r w:rsidR="00216F37">
        <w:t xml:space="preserve">par exemple </w:t>
      </w:r>
      <w:r w:rsidR="00B26D75">
        <w:t>les antennes sp</w:t>
      </w:r>
      <w:r w:rsidR="005D657E">
        <w:t xml:space="preserve">irales, </w:t>
      </w:r>
      <w:r w:rsidR="00B26D75">
        <w:t>rotatives</w:t>
      </w:r>
      <w:r w:rsidR="005D657E">
        <w:t xml:space="preserve"> et l</w:t>
      </w:r>
      <w:r w:rsidR="00B26D75">
        <w:t>es antennes à onde progressive.</w:t>
      </w:r>
    </w:p>
    <w:p w14:paraId="75CA3279" w14:textId="4924D3EE" w:rsidR="00C82B01" w:rsidRDefault="00C82B01" w:rsidP="000F60A8">
      <w:pPr>
        <w:jc w:val="both"/>
      </w:pPr>
      <w:r>
        <w:t>Afin de couvrir une large bande de fréquence, plusieurs fabricants optent pour le design d’un système comprenant plusieurs sous-bandes, permettant d’améliorer les performances de goniométrie (en réduisant notamment les ambiguïtés) malgré l’augmentation des dimensions du système.</w:t>
      </w:r>
    </w:p>
    <w:p w14:paraId="637A5649" w14:textId="77777777" w:rsidR="00C46AAF" w:rsidRDefault="00C46AAF" w:rsidP="00F54830">
      <w:pPr>
        <w:keepNext/>
        <w:jc w:val="center"/>
      </w:pPr>
      <w:r>
        <w:rPr>
          <w:noProof/>
          <w:lang w:eastAsia="fr-FR"/>
        </w:rPr>
        <w:drawing>
          <wp:inline distT="0" distB="0" distL="0" distR="0" wp14:anchorId="375FC999" wp14:editId="70C5C91F">
            <wp:extent cx="2276475" cy="13620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6475" cy="1362075"/>
                    </a:xfrm>
                    <a:prstGeom prst="rect">
                      <a:avLst/>
                    </a:prstGeom>
                  </pic:spPr>
                </pic:pic>
              </a:graphicData>
            </a:graphic>
          </wp:inline>
        </w:drawing>
      </w:r>
    </w:p>
    <w:p w14:paraId="4FC4DEDE" w14:textId="15338003" w:rsidR="00C46AAF" w:rsidRDefault="00C46AAF" w:rsidP="00F54830">
      <w:pPr>
        <w:pStyle w:val="Lgende"/>
        <w:jc w:val="center"/>
      </w:pPr>
      <w:r>
        <w:t xml:space="preserve">Figure </w:t>
      </w:r>
      <w:r>
        <w:fldChar w:fldCharType="begin"/>
      </w:r>
      <w:r>
        <w:instrText xml:space="preserve"> SEQ Figure \* ARABIC </w:instrText>
      </w:r>
      <w:r>
        <w:fldChar w:fldCharType="separate"/>
      </w:r>
      <w:r w:rsidR="00F54830">
        <w:rPr>
          <w:noProof/>
        </w:rPr>
        <w:t>18</w:t>
      </w:r>
      <w:r>
        <w:fldChar w:fldCharType="end"/>
      </w:r>
      <w:r>
        <w:t xml:space="preserve"> : Homothétie d'antennes spirales à cavité via trois sous-bandes pour couvrir la bande [0.5-18 GHz], SE129 de L3Harris</w:t>
      </w:r>
    </w:p>
    <w:p w14:paraId="4E86140F" w14:textId="3EF47ECE" w:rsidR="00B26D75" w:rsidRDefault="00B26D75" w:rsidP="000F60A8">
      <w:pPr>
        <w:pStyle w:val="Titre3"/>
        <w:jc w:val="both"/>
      </w:pPr>
      <w:bookmarkStart w:id="44" w:name="_Toc104886667"/>
      <w:r>
        <w:t>Antennes spirales</w:t>
      </w:r>
      <w:bookmarkEnd w:id="44"/>
    </w:p>
    <w:p w14:paraId="3E82EAAE" w14:textId="04A7CFE1" w:rsidR="00240B54" w:rsidRDefault="00240B54" w:rsidP="000F60A8">
      <w:pPr>
        <w:jc w:val="both"/>
      </w:pPr>
      <w:r>
        <w:t>Les antennes spirales sont caractérisées par leur forme circulaire, le plus généralement via des lignes micro rubans dans les bandes millimétriq</w:t>
      </w:r>
      <w:r w:rsidR="00090A7D">
        <w:t>ues, leur permettant de rayonner avec une polarisation circulaire. Elles présentent une bande passante relativement large, avec un diagramme de rayonnement large et stable, mais ont comme inconvénient un gain plus faible et un faible coefficient de réflexion en bande basse.</w:t>
      </w:r>
      <w:r w:rsidR="008A4F77">
        <w:t xml:space="preserve"> De plus, les ondes en polarisation circulaire opposé reçues par l’antenne vont être fortement atténuées</w:t>
      </w:r>
      <w:r w:rsidR="001563BC">
        <w:t>, entraînant la perte d’une information pouvant être importante pour localiser les émetteurs environnants</w:t>
      </w:r>
      <w:r w:rsidR="008A4F77">
        <w:t>.</w:t>
      </w:r>
    </w:p>
    <w:p w14:paraId="2239639E" w14:textId="77777777" w:rsidR="00DF75E7" w:rsidRDefault="00DF75E7" w:rsidP="00F54830">
      <w:pPr>
        <w:keepNext/>
        <w:jc w:val="center"/>
      </w:pPr>
      <w:r>
        <w:rPr>
          <w:noProof/>
          <w:lang w:eastAsia="fr-FR"/>
        </w:rPr>
        <w:lastRenderedPageBreak/>
        <w:drawing>
          <wp:inline distT="0" distB="0" distL="0" distR="0" wp14:anchorId="00DF4A7C" wp14:editId="11391C97">
            <wp:extent cx="1906604" cy="1955283"/>
            <wp:effectExtent l="0" t="0" r="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9000" cy="1957741"/>
                    </a:xfrm>
                    <a:prstGeom prst="rect">
                      <a:avLst/>
                    </a:prstGeom>
                  </pic:spPr>
                </pic:pic>
              </a:graphicData>
            </a:graphic>
          </wp:inline>
        </w:drawing>
      </w:r>
    </w:p>
    <w:p w14:paraId="098E60F2" w14:textId="608EE550" w:rsidR="00DF75E7" w:rsidRDefault="00DF75E7" w:rsidP="00F54830">
      <w:pPr>
        <w:pStyle w:val="Lgende"/>
        <w:jc w:val="center"/>
      </w:pPr>
      <w:r>
        <w:t xml:space="preserve">Figure </w:t>
      </w:r>
      <w:r>
        <w:fldChar w:fldCharType="begin"/>
      </w:r>
      <w:r>
        <w:instrText xml:space="preserve"> SEQ Figure \* ARABIC </w:instrText>
      </w:r>
      <w:r>
        <w:fldChar w:fldCharType="separate"/>
      </w:r>
      <w:r w:rsidR="00F54830">
        <w:rPr>
          <w:noProof/>
        </w:rPr>
        <w:t>19</w:t>
      </w:r>
      <w:r>
        <w:fldChar w:fldCharType="end"/>
      </w:r>
      <w:r>
        <w:t xml:space="preserve"> : Antenne spirale à cavité, QMS-00935 de STEATITE</w:t>
      </w:r>
    </w:p>
    <w:p w14:paraId="44B1681F" w14:textId="350E9C7A" w:rsidR="00B26D75" w:rsidRDefault="00B26D75" w:rsidP="000F60A8">
      <w:pPr>
        <w:pStyle w:val="Titre3"/>
        <w:jc w:val="both"/>
      </w:pPr>
      <w:bookmarkStart w:id="45" w:name="_Toc104886668"/>
      <w:r>
        <w:t>Antennes rotatives</w:t>
      </w:r>
      <w:bookmarkEnd w:id="45"/>
    </w:p>
    <w:p w14:paraId="368718EE" w14:textId="2A24690D" w:rsidR="00F3493C" w:rsidRDefault="00F3493C" w:rsidP="000F60A8">
      <w:pPr>
        <w:jc w:val="both"/>
      </w:pPr>
      <w:r>
        <w:t>Afin d’obtenir une résolution angulaire élevée, il est possible d’utiliser des an</w:t>
      </w:r>
      <w:r w:rsidR="003E1D22">
        <w:t>tennes directives avec l’aide d’</w:t>
      </w:r>
      <w:r>
        <w:t>un réflecteur. Cependant ces antennes ne couvrant pas une large ouverture angulaire on ajoute un système motorisé permettant de tourner l’antenne sur 360°. Ces systèmes nécessitent donc d’être placés dans des zones dégagées sans éléments qui pourraient obstruer le rayonnement de l’antenne, comme par exemple en haut du mât d’un navire.</w:t>
      </w:r>
      <w:r w:rsidR="00CB26B6">
        <w:t xml:space="preserve"> L’élément rayonnant</w:t>
      </w:r>
      <w:r w:rsidR="003E1D22">
        <w:t xml:space="preserve">, une </w:t>
      </w:r>
      <w:commentRangeStart w:id="46"/>
      <w:r w:rsidR="003E1D22">
        <w:t>antenne log périodique ou bien cornet</w:t>
      </w:r>
      <w:commentRangeEnd w:id="46"/>
      <w:r w:rsidR="003E1D22">
        <w:rPr>
          <w:rStyle w:val="Marquedecommentaire"/>
        </w:rPr>
        <w:commentReference w:id="46"/>
      </w:r>
      <w:r w:rsidR="003E1D22">
        <w:t>,</w:t>
      </w:r>
      <w:r w:rsidR="00CB26B6">
        <w:t xml:space="preserve"> est en général incliné de 45°</w:t>
      </w:r>
      <w:r w:rsidR="00CB26B6" w:rsidRPr="00CB26B6">
        <w:t xml:space="preserve"> </w:t>
      </w:r>
      <w:r w:rsidR="00CB26B6">
        <w:t xml:space="preserve">pour pouvoir recevoir tout type de polarisation. </w:t>
      </w:r>
      <w:r w:rsidR="003918A0">
        <w:t>En contrepartie, l</w:t>
      </w:r>
      <w:r w:rsidR="00CB26B6">
        <w:t xml:space="preserve">es polarisations linéaires (horizontale et verticale) perdront 3dB </w:t>
      </w:r>
      <w:r w:rsidR="00E52916">
        <w:t xml:space="preserve">en réception </w:t>
      </w:r>
      <w:r w:rsidR="00CB26B6">
        <w:t xml:space="preserve">mais </w:t>
      </w:r>
      <w:r w:rsidR="002D07BF">
        <w:t>cette perte est</w:t>
      </w:r>
      <w:r w:rsidR="00CB26B6">
        <w:t xml:space="preserve"> compensé</w:t>
      </w:r>
      <w:r w:rsidR="002D07BF">
        <w:t>e</w:t>
      </w:r>
      <w:r w:rsidR="00CB26B6">
        <w:t xml:space="preserve"> par le gain élevé de l’antenne.</w:t>
      </w:r>
    </w:p>
    <w:p w14:paraId="61919BC3" w14:textId="77777777" w:rsidR="00CB26B6" w:rsidRDefault="00CB26B6" w:rsidP="00F54830">
      <w:pPr>
        <w:keepNext/>
        <w:jc w:val="center"/>
      </w:pPr>
      <w:r>
        <w:rPr>
          <w:noProof/>
          <w:lang w:eastAsia="fr-FR"/>
        </w:rPr>
        <w:drawing>
          <wp:inline distT="0" distB="0" distL="0" distR="0" wp14:anchorId="11CE0127" wp14:editId="7C4EC908">
            <wp:extent cx="1933575" cy="2208781"/>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94" t="2800" r="4529" b="4451"/>
                    <a:stretch/>
                  </pic:blipFill>
                  <pic:spPr bwMode="auto">
                    <a:xfrm>
                      <a:off x="0" y="0"/>
                      <a:ext cx="1959487" cy="2238381"/>
                    </a:xfrm>
                    <a:prstGeom prst="rect">
                      <a:avLst/>
                    </a:prstGeom>
                    <a:ln>
                      <a:noFill/>
                    </a:ln>
                    <a:extLst>
                      <a:ext uri="{53640926-AAD7-44D8-BBD7-CCE9431645EC}">
                        <a14:shadowObscured xmlns:a14="http://schemas.microsoft.com/office/drawing/2010/main"/>
                      </a:ext>
                    </a:extLst>
                  </pic:spPr>
                </pic:pic>
              </a:graphicData>
            </a:graphic>
          </wp:inline>
        </w:drawing>
      </w:r>
    </w:p>
    <w:p w14:paraId="36C1A134" w14:textId="244D2D35" w:rsidR="00CB26B6" w:rsidRDefault="00CB26B6" w:rsidP="00F54830">
      <w:pPr>
        <w:pStyle w:val="Lgende"/>
        <w:jc w:val="center"/>
      </w:pPr>
      <w:r>
        <w:t xml:space="preserve">Figure </w:t>
      </w:r>
      <w:r>
        <w:fldChar w:fldCharType="begin"/>
      </w:r>
      <w:r>
        <w:instrText xml:space="preserve"> SEQ Figure \* ARABIC </w:instrText>
      </w:r>
      <w:r>
        <w:fldChar w:fldCharType="separate"/>
      </w:r>
      <w:r w:rsidR="00F54830">
        <w:rPr>
          <w:noProof/>
        </w:rPr>
        <w:t>20</w:t>
      </w:r>
      <w:r>
        <w:fldChar w:fldCharType="end"/>
      </w:r>
      <w:r>
        <w:t xml:space="preserve"> : Antenne rotative pour application goniométriqu</w:t>
      </w:r>
      <w:r w:rsidR="00F54830">
        <w:t>e terrestre, maritime et aérien à précision de 0.05° RMS,</w:t>
      </w:r>
      <w:r>
        <w:t xml:space="preserve"> </w:t>
      </w:r>
      <w:commentRangeStart w:id="47"/>
      <w:r>
        <w:t>D-1509 de CAES</w:t>
      </w:r>
      <w:commentRangeEnd w:id="47"/>
      <w:r w:rsidR="001563BC">
        <w:rPr>
          <w:rStyle w:val="Marquedecommentaire"/>
          <w:i w:val="0"/>
          <w:iCs w:val="0"/>
          <w:color w:val="auto"/>
        </w:rPr>
        <w:commentReference w:id="47"/>
      </w:r>
    </w:p>
    <w:p w14:paraId="126A1587" w14:textId="4CD4A05D" w:rsidR="00C82B01" w:rsidRDefault="00C82B01" w:rsidP="000F60A8">
      <w:pPr>
        <w:pStyle w:val="Titre3"/>
        <w:jc w:val="both"/>
      </w:pPr>
      <w:bookmarkStart w:id="48" w:name="_Toc104886669"/>
      <w:r>
        <w:t>Antennes à onde progressive</w:t>
      </w:r>
      <w:bookmarkEnd w:id="48"/>
    </w:p>
    <w:p w14:paraId="1418FD8F" w14:textId="36CF20E9" w:rsidR="00C82B01" w:rsidRDefault="0036194B" w:rsidP="000F60A8">
      <w:pPr>
        <w:jc w:val="both"/>
      </w:pPr>
      <w:r>
        <w:t xml:space="preserve">Enfin, les antennes à onde progressive comprennent plusieurs topologies, comme les antennes cornet ou </w:t>
      </w:r>
      <w:commentRangeStart w:id="49"/>
      <w:r>
        <w:t>vivald</w:t>
      </w:r>
      <w:commentRangeEnd w:id="49"/>
      <w:r>
        <w:rPr>
          <w:rStyle w:val="Marquedecommentaire"/>
        </w:rPr>
        <w:commentReference w:id="49"/>
      </w:r>
      <w:r>
        <w:t>i.</w:t>
      </w:r>
      <w:r w:rsidR="00582FBC">
        <w:t xml:space="preserve"> Elles présentent un bon gain et une couverture angulaire stable s</w:t>
      </w:r>
      <w:r w:rsidR="004D6E00">
        <w:t>ur une large bande de fréquence, ainsi qu’un bon coefficient de réflexion.</w:t>
      </w:r>
      <w:r w:rsidR="00465DC3">
        <w:t xml:space="preserve"> Cependant, cette topologie ne peut émettre qu’en polarisation linéaire et nécessite d’être inclinée si l’on veut recevoir tout type de polarisation. Comme la chute de gain qui en résulte est conséquente sur les performances du système, on l’associe à un réflecteur comme vu précédemment pour augmenter son gain et sa résolution.</w:t>
      </w:r>
      <w:r w:rsidR="004D6E00">
        <w:t xml:space="preserve"> </w:t>
      </w:r>
    </w:p>
    <w:p w14:paraId="6D754866" w14:textId="77777777" w:rsidR="00BA61D2" w:rsidRDefault="00BA61D2" w:rsidP="00F54830">
      <w:pPr>
        <w:keepNext/>
        <w:jc w:val="center"/>
      </w:pPr>
      <w:r>
        <w:rPr>
          <w:noProof/>
          <w:lang w:eastAsia="fr-FR"/>
        </w:rPr>
        <w:lastRenderedPageBreak/>
        <w:drawing>
          <wp:inline distT="0" distB="0" distL="0" distR="0" wp14:anchorId="2AB8176F" wp14:editId="5162DF34">
            <wp:extent cx="2971800" cy="2735943"/>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50" t="3226" r="2750" b="3226"/>
                    <a:stretch/>
                  </pic:blipFill>
                  <pic:spPr bwMode="auto">
                    <a:xfrm>
                      <a:off x="0" y="0"/>
                      <a:ext cx="2974164" cy="2738119"/>
                    </a:xfrm>
                    <a:prstGeom prst="rect">
                      <a:avLst/>
                    </a:prstGeom>
                    <a:ln>
                      <a:noFill/>
                    </a:ln>
                    <a:extLst>
                      <a:ext uri="{53640926-AAD7-44D8-BBD7-CCE9431645EC}">
                        <a14:shadowObscured xmlns:a14="http://schemas.microsoft.com/office/drawing/2010/main"/>
                      </a:ext>
                    </a:extLst>
                  </pic:spPr>
                </pic:pic>
              </a:graphicData>
            </a:graphic>
          </wp:inline>
        </w:drawing>
      </w:r>
    </w:p>
    <w:p w14:paraId="65F0BF59" w14:textId="3A5F9FEF" w:rsidR="00A6621C" w:rsidRDefault="00BA61D2" w:rsidP="00F54830">
      <w:pPr>
        <w:pStyle w:val="Lgende"/>
        <w:jc w:val="center"/>
      </w:pPr>
      <w:r>
        <w:t xml:space="preserve">Figure </w:t>
      </w:r>
      <w:r>
        <w:fldChar w:fldCharType="begin"/>
      </w:r>
      <w:r>
        <w:instrText xml:space="preserve"> SEQ Figure \* ARABIC </w:instrText>
      </w:r>
      <w:r>
        <w:fldChar w:fldCharType="separate"/>
      </w:r>
      <w:r w:rsidR="00F54830">
        <w:rPr>
          <w:noProof/>
        </w:rPr>
        <w:t>21</w:t>
      </w:r>
      <w:r>
        <w:fldChar w:fldCharType="end"/>
      </w:r>
      <w:r>
        <w:t xml:space="preserve"> : Réseau d'antenne vivaldi pour application goniométrique 3D, </w:t>
      </w:r>
      <w:commentRangeStart w:id="50"/>
      <w:r>
        <w:t>ref</w:t>
      </w:r>
      <w:commentRangeEnd w:id="50"/>
      <w:r>
        <w:rPr>
          <w:rStyle w:val="Marquedecommentaire"/>
          <w:i w:val="0"/>
          <w:iCs w:val="0"/>
          <w:color w:val="auto"/>
        </w:rPr>
        <w:commentReference w:id="50"/>
      </w:r>
    </w:p>
    <w:p w14:paraId="6D1DBA93" w14:textId="77777777" w:rsidR="004D6E00" w:rsidRDefault="004D6E00" w:rsidP="00F54830">
      <w:pPr>
        <w:keepNext/>
        <w:jc w:val="center"/>
      </w:pPr>
      <w:r>
        <w:rPr>
          <w:noProof/>
          <w:lang w:eastAsia="fr-FR"/>
        </w:rPr>
        <w:drawing>
          <wp:inline distT="0" distB="0" distL="0" distR="0" wp14:anchorId="3D0E4335" wp14:editId="69D7D58D">
            <wp:extent cx="2847975" cy="20805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64136" cy="2092396"/>
                    </a:xfrm>
                    <a:prstGeom prst="rect">
                      <a:avLst/>
                    </a:prstGeom>
                  </pic:spPr>
                </pic:pic>
              </a:graphicData>
            </a:graphic>
          </wp:inline>
        </w:drawing>
      </w:r>
    </w:p>
    <w:p w14:paraId="6662AA25" w14:textId="5123BCDC" w:rsidR="004D6E00" w:rsidRPr="004D6E00" w:rsidRDefault="004D6E00" w:rsidP="00F54830">
      <w:pPr>
        <w:pStyle w:val="Lgende"/>
        <w:jc w:val="center"/>
      </w:pPr>
      <w:r>
        <w:t xml:space="preserve">Figure </w:t>
      </w:r>
      <w:r>
        <w:fldChar w:fldCharType="begin"/>
      </w:r>
      <w:r>
        <w:instrText xml:space="preserve"> SEQ Figure \* ARABIC </w:instrText>
      </w:r>
      <w:r>
        <w:fldChar w:fldCharType="separate"/>
      </w:r>
      <w:r w:rsidR="00F54830">
        <w:rPr>
          <w:noProof/>
        </w:rPr>
        <w:t>22</w:t>
      </w:r>
      <w:r>
        <w:fldChar w:fldCharType="end"/>
      </w:r>
      <w:r>
        <w:t xml:space="preserve"> : Réseau goniométrique d'antennes cornet, Swissto12</w:t>
      </w:r>
    </w:p>
    <w:p w14:paraId="0C9BDB82" w14:textId="77777777" w:rsidR="003C1B66" w:rsidRDefault="003C1B66" w:rsidP="000F60A8">
      <w:pPr>
        <w:jc w:val="both"/>
        <w:rPr>
          <w:rFonts w:asciiTheme="majorHAnsi" w:eastAsiaTheme="majorEastAsia" w:hAnsiTheme="majorHAnsi" w:cstheme="majorBidi"/>
          <w:sz w:val="32"/>
          <w:szCs w:val="32"/>
        </w:rPr>
      </w:pPr>
      <w:r>
        <w:br w:type="page"/>
      </w:r>
    </w:p>
    <w:p w14:paraId="18EAD6E4" w14:textId="7E1F2A04" w:rsidR="007B3461" w:rsidRPr="00A86208" w:rsidRDefault="00A6450C" w:rsidP="000F60A8">
      <w:pPr>
        <w:pStyle w:val="Titre1"/>
        <w:jc w:val="both"/>
      </w:pPr>
      <w:bookmarkStart w:id="51" w:name="_Toc104886670"/>
      <w:r w:rsidRPr="00A86208">
        <w:lastRenderedPageBreak/>
        <w:t xml:space="preserve">Antennes </w:t>
      </w:r>
      <w:r w:rsidR="00FE34B1" w:rsidRPr="00A86208">
        <w:t xml:space="preserve">compactes et </w:t>
      </w:r>
      <w:r w:rsidRPr="00A86208">
        <w:t>large bande</w:t>
      </w:r>
      <w:bookmarkEnd w:id="51"/>
    </w:p>
    <w:p w14:paraId="0442A167" w14:textId="0E1A831E" w:rsidR="00423728" w:rsidRPr="00423728" w:rsidRDefault="00423728" w:rsidP="000F60A8">
      <w:pPr>
        <w:jc w:val="both"/>
      </w:pPr>
      <w:r>
        <w:t xml:space="preserve">Dans cette partie, nous présenterons les différentes méthodes connues afin de concevoir des antennes électriquement petites. Nous présenterons ensuite les différents types d’antennes </w:t>
      </w:r>
      <w:r w:rsidR="00E31E45">
        <w:t xml:space="preserve">basiques </w:t>
      </w:r>
      <w:r>
        <w:t xml:space="preserve">permettant d’obtenir une large bande passante. </w:t>
      </w:r>
    </w:p>
    <w:p w14:paraId="0B36A538" w14:textId="77777777" w:rsidR="00E718DD" w:rsidRPr="00A86208" w:rsidRDefault="00E718DD" w:rsidP="000F60A8">
      <w:pPr>
        <w:pStyle w:val="Titre2"/>
        <w:jc w:val="both"/>
      </w:pPr>
      <w:bookmarkStart w:id="52" w:name="_Toc104886671"/>
      <w:r w:rsidRPr="00A86208">
        <w:t xml:space="preserve">Théorie des antennes </w:t>
      </w:r>
      <w:r w:rsidR="00FE34B1" w:rsidRPr="00A86208">
        <w:t>miniaturisées</w:t>
      </w:r>
      <w:bookmarkEnd w:id="52"/>
    </w:p>
    <w:p w14:paraId="663EDEBF" w14:textId="77777777" w:rsidR="004A6FB8" w:rsidRPr="00E5661A" w:rsidRDefault="004A6FB8" w:rsidP="000F60A8">
      <w:pPr>
        <w:pStyle w:val="Titre3"/>
        <w:jc w:val="both"/>
      </w:pPr>
      <w:bookmarkStart w:id="53" w:name="_Toc104886672"/>
      <w:r>
        <w:t xml:space="preserve">Antennes </w:t>
      </w:r>
      <w:r w:rsidRPr="007C1A5F">
        <w:t>électriquement</w:t>
      </w:r>
      <w:r>
        <w:t xml:space="preserve"> petites</w:t>
      </w:r>
      <w:bookmarkEnd w:id="53"/>
    </w:p>
    <w:p w14:paraId="14F44059" w14:textId="219CD1B4" w:rsidR="004A6FB8" w:rsidRDefault="004A6FB8" w:rsidP="000F60A8">
      <w:pPr>
        <w:jc w:val="both"/>
      </w:pPr>
      <w:r>
        <w:t xml:space="preserve">Pour qu’une antenne soit la plus efficace possible, on doit en général la dimensionner par rapport à sa longueur </w:t>
      </w:r>
      <w:r>
        <w:t>d’onde</w:t>
      </w:r>
      <w:r>
        <w:t>, c’est-à-dire en prenant en compte sa fréquence d’utilisation.</w:t>
      </w:r>
    </w:p>
    <w:p w14:paraId="79554C94" w14:textId="62A13E65" w:rsidR="004A6FB8" w:rsidRPr="00822F77" w:rsidRDefault="004A6FB8" w:rsidP="000F60A8">
      <w:pPr>
        <w:jc w:val="both"/>
        <w:rPr>
          <w:rFonts w:eastAsiaTheme="minorEastAsia"/>
        </w:rPr>
      </w:pPr>
      <m:oMathPara>
        <m:oMath>
          <m:eqArr>
            <m:eqArrPr>
              <m:maxDist m:val="1"/>
              <m:ctrlPr>
                <w:rPr>
                  <w:rFonts w:ascii="Cambria Math" w:eastAsiaTheme="minorEastAsia" w:hAnsi="Cambria Math"/>
                  <w:i/>
                </w:rPr>
              </m:ctrlPr>
            </m:eqArrPr>
            <m:e>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eastAsiaTheme="minorEastAsia" w:hAnsi="Cambria Math"/>
                </w:rPr>
                <m:t xml:space="preserve"> </m:t>
              </m:r>
              <m:ctrlPr>
                <w:rPr>
                  <w:rFonts w:ascii="Cambria Math" w:hAnsi="Cambria Math"/>
                  <w:i/>
                </w:rPr>
              </m:ctrlPr>
            </m:e>
          </m:eqArr>
        </m:oMath>
      </m:oMathPara>
    </w:p>
    <w:p w14:paraId="5867B716" w14:textId="117F4B5D" w:rsidR="004A6FB8" w:rsidRPr="00BC19B4" w:rsidRDefault="004A6FB8" w:rsidP="000F60A8">
      <w:pPr>
        <w:jc w:val="both"/>
      </w:pPr>
      <w:r>
        <w:t>Ainsi, p</w:t>
      </w:r>
      <w:r>
        <w:t>our une antenne fonctionnant à 10</w:t>
      </w:r>
      <w:r>
        <w:t xml:space="preserve"> GHz, on aura des dimensions de l’ordre de </w:t>
      </w:r>
      <m:oMath>
        <m:r>
          <w:rPr>
            <w:rFonts w:ascii="Cambria Math" w:hAnsi="Cambria Math"/>
          </w:rPr>
          <m:t>λ</m:t>
        </m:r>
        <m:r>
          <w:rPr>
            <w:rFonts w:ascii="Cambria Math" w:hAnsi="Cambria Math"/>
          </w:rPr>
          <m:t>=0,03</m:t>
        </m:r>
        <m:r>
          <w:rPr>
            <w:rFonts w:ascii="Cambria Math" w:hAnsi="Cambria Math"/>
          </w:rPr>
          <m:t>m</m:t>
        </m:r>
      </m:oMath>
      <w:r>
        <w:rPr>
          <w:rFonts w:eastAsiaTheme="minorEastAsia"/>
        </w:rPr>
        <w:t> ; alors qu’à 1 G</w:t>
      </w:r>
      <w:r>
        <w:rPr>
          <w:rFonts w:eastAsiaTheme="minorEastAsia"/>
        </w:rPr>
        <w:t xml:space="preserve">Hz on aura </w:t>
      </w:r>
      <m:oMath>
        <m:r>
          <w:rPr>
            <w:rFonts w:ascii="Cambria Math" w:hAnsi="Cambria Math"/>
          </w:rPr>
          <m:t>λ</m:t>
        </m:r>
        <m:r>
          <w:rPr>
            <w:rFonts w:ascii="Cambria Math" w:hAnsi="Cambria Math"/>
          </w:rPr>
          <m:t>=0.3</m:t>
        </m:r>
        <m:r>
          <w:rPr>
            <w:rFonts w:ascii="Cambria Math" w:hAnsi="Cambria Math"/>
          </w:rPr>
          <m:t>m</m:t>
        </m:r>
      </m:oMath>
      <w:r>
        <w:rPr>
          <w:rFonts w:eastAsiaTheme="minorEastAsia"/>
        </w:rPr>
        <w:t>. </w:t>
      </w:r>
      <w:r>
        <w:t>On travaille cependant généralement avec des dimensions en fraction de λ, par exemple</w:t>
      </w:r>
      <w:r>
        <w:rPr>
          <w:rFonts w:eastAsiaTheme="minorEastAsia"/>
        </w:rPr>
        <w:t xml:space="preserve"> </w:t>
      </w:r>
      <w:r>
        <w:t xml:space="preserve">dans le cas d’antennes basiques telles qu’un monopôle ou un dipôle, leurs dimensions sont respectivement de l’ordre de </w:t>
      </w:r>
      <m:oMath>
        <m:f>
          <m:fPr>
            <m:ctrlPr>
              <w:rPr>
                <w:rFonts w:ascii="Cambria Math" w:hAnsi="Cambria Math"/>
                <w:i/>
              </w:rPr>
            </m:ctrlPr>
          </m:fPr>
          <m:num>
            <m:r>
              <w:rPr>
                <w:rFonts w:ascii="Cambria Math" w:hAnsi="Cambria Math"/>
              </w:rPr>
              <m:t>λ</m:t>
            </m:r>
          </m:num>
          <m:den>
            <m:r>
              <w:rPr>
                <w:rFonts w:ascii="Cambria Math" w:hAnsi="Cambria Math"/>
              </w:rPr>
              <m:t>4</m:t>
            </m:r>
          </m:den>
        </m:f>
      </m:oMath>
      <w:r>
        <w:rPr>
          <w:rFonts w:eastAsiaTheme="minorEastAsia"/>
        </w:rPr>
        <w:t xml:space="preserve"> et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De plus, si l’on ne cherche pas à avoir de directivité particulière, une antenne peut rester fonctionnelle à des dimensions très inférieures à λ.</w:t>
      </w:r>
    </w:p>
    <w:p w14:paraId="1DE7A16F" w14:textId="237DB0BF" w:rsidR="004A6FB8" w:rsidRDefault="004A6FB8" w:rsidP="000F60A8">
      <w:pPr>
        <w:jc w:val="both"/>
        <w:rPr>
          <w:rFonts w:eastAsiaTheme="minorEastAsia"/>
        </w:rPr>
      </w:pPr>
      <w:r>
        <w:rPr>
          <w:rFonts w:eastAsiaTheme="minorEastAsia"/>
        </w:rPr>
        <w:t xml:space="preserve">Ainsi, dans notre cas, pour éviter de travailler avec des dimensions </w:t>
      </w:r>
      <w:r w:rsidR="00CE2029">
        <w:rPr>
          <w:rFonts w:eastAsiaTheme="minorEastAsia"/>
        </w:rPr>
        <w:t>encombrantes</w:t>
      </w:r>
      <w:r>
        <w:rPr>
          <w:rFonts w:eastAsiaTheme="minorEastAsia"/>
        </w:rPr>
        <w:t>, nous allons devoir miniaturiser notre antenne. Cependant, cette miniaturisation va aller à l’encontre de ses performances, amenant alors à trouver des compromis afin de respecter les caractéristiques radioélectriques spécifiées par l’utilisateur.</w:t>
      </w:r>
    </w:p>
    <w:p w14:paraId="5A28DC04" w14:textId="3F3198BC" w:rsidR="004A6FB8" w:rsidRDefault="004A6FB8" w:rsidP="000F60A8">
      <w:pPr>
        <w:jc w:val="both"/>
        <w:rPr>
          <w:rFonts w:eastAsiaTheme="minorEastAsia"/>
        </w:rPr>
      </w:pPr>
      <w:bookmarkStart w:id="54" w:name="_Hlk81226333"/>
      <w:r>
        <w:rPr>
          <w:rFonts w:eastAsiaTheme="minorEastAsia"/>
        </w:rPr>
        <w:t>Les premiers travaux sur la miniaturisation des anten</w:t>
      </w:r>
      <w:r w:rsidR="00CE2029">
        <w:rPr>
          <w:rFonts w:eastAsiaTheme="minorEastAsia"/>
        </w:rPr>
        <w:t>nes ont été effectués par Chu [</w:t>
      </w:r>
      <w:commentRangeStart w:id="55"/>
      <w:r w:rsidR="00CE2029">
        <w:rPr>
          <w:rFonts w:eastAsiaTheme="minorEastAsia"/>
        </w:rPr>
        <w:t>Ref</w:t>
      </w:r>
      <w:commentRangeEnd w:id="55"/>
      <w:r w:rsidR="00CE2029">
        <w:rPr>
          <w:rStyle w:val="Marquedecommentaire"/>
        </w:rPr>
        <w:commentReference w:id="55"/>
      </w:r>
      <w:r w:rsidR="00CE2029">
        <w:rPr>
          <w:rFonts w:eastAsiaTheme="minorEastAsia"/>
        </w:rPr>
        <w:t>] et Wheeler [</w:t>
      </w:r>
      <w:commentRangeStart w:id="56"/>
      <w:r w:rsidR="00CE2029">
        <w:rPr>
          <w:rFonts w:eastAsiaTheme="minorEastAsia"/>
        </w:rPr>
        <w:t>Ref</w:t>
      </w:r>
      <w:commentRangeEnd w:id="56"/>
      <w:r w:rsidR="00CE2029">
        <w:rPr>
          <w:rStyle w:val="Marquedecommentaire"/>
        </w:rPr>
        <w:commentReference w:id="56"/>
      </w:r>
      <w:r>
        <w:rPr>
          <w:rFonts w:eastAsiaTheme="minorEastAsia"/>
        </w:rPr>
        <w:t>] indépendamment dans les années 1960, puis par</w:t>
      </w:r>
      <w:r w:rsidR="00CE2029">
        <w:rPr>
          <w:rFonts w:eastAsiaTheme="minorEastAsia"/>
        </w:rPr>
        <w:t xml:space="preserve"> Harrington [</w:t>
      </w:r>
      <w:commentRangeStart w:id="57"/>
      <w:r w:rsidR="00CE2029">
        <w:rPr>
          <w:rFonts w:eastAsiaTheme="minorEastAsia"/>
        </w:rPr>
        <w:t>Ref</w:t>
      </w:r>
      <w:commentRangeEnd w:id="57"/>
      <w:r w:rsidR="00CE2029">
        <w:rPr>
          <w:rStyle w:val="Marquedecommentaire"/>
        </w:rPr>
        <w:commentReference w:id="57"/>
      </w:r>
      <w:r>
        <w:rPr>
          <w:rFonts w:eastAsiaTheme="minorEastAsia"/>
        </w:rPr>
        <w:t xml:space="preserve">]. Ces recherches ont amené à la définition d’une antenne électriquement petite et d’un taux de miniaturisation à l’aide d’un élément mathématique appelé la sphère de Chu. Le taux de miniaturisation est alors défini comme étant le nombre d’onde </w:t>
      </w:r>
      <w:r w:rsidRPr="00EE7E4E">
        <w:rPr>
          <w:rFonts w:eastAsiaTheme="minorEastAsia"/>
          <w:i/>
        </w:rPr>
        <w:t>k</w:t>
      </w:r>
      <w:r>
        <w:rPr>
          <w:rFonts w:eastAsiaTheme="minorEastAsia"/>
        </w:rPr>
        <w:t xml:space="preserve"> (en radians) qui sépare le centre de la sphère de ses parois qui se trouvent à un rayon minimum </w:t>
      </w:r>
      <w:r w:rsidRPr="00EE7E4E">
        <w:rPr>
          <w:rFonts w:eastAsiaTheme="minorEastAsia"/>
          <w:i/>
        </w:rPr>
        <w:t>a</w:t>
      </w:r>
      <w:r>
        <w:rPr>
          <w:rFonts w:eastAsiaTheme="minorEastAsia"/>
        </w:rPr>
        <w:t xml:space="preserve"> nécessaire pour contenir l’antenne. Ainsi, une antenne électriquement </w:t>
      </w:r>
      <w:r w:rsidR="00CE2029">
        <w:rPr>
          <w:rFonts w:eastAsiaTheme="minorEastAsia"/>
        </w:rPr>
        <w:t xml:space="preserve">petite est caractérisée par </w:t>
      </w:r>
      <w:r>
        <w:rPr>
          <w:rFonts w:eastAsiaTheme="minorEastAsia"/>
        </w:rPr>
        <w:t>:</w:t>
      </w:r>
    </w:p>
    <w:bookmarkEnd w:id="54"/>
    <w:p w14:paraId="6C8D643C" w14:textId="76E5A2BE" w:rsidR="004A6FB8" w:rsidRPr="000A2D7B" w:rsidRDefault="004A6FB8" w:rsidP="000F60A8">
      <w:pPr>
        <w:jc w:val="both"/>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ka&lt;1 ⇔a&lt;</m:t>
              </m:r>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2π</m:t>
                  </m:r>
                </m:den>
              </m:f>
              <m:r>
                <w:rPr>
                  <w:rFonts w:ascii="Cambria Math" w:eastAsiaTheme="minorEastAsia" w:hAnsi="Cambria Math"/>
                </w:rPr>
                <m:t xml:space="preserve">  </m:t>
              </m:r>
            </m:e>
          </m:eqArr>
        </m:oMath>
      </m:oMathPara>
    </w:p>
    <w:p w14:paraId="074B4963" w14:textId="77777777" w:rsidR="004A6FB8" w:rsidRDefault="004A6FB8" w:rsidP="000F60A8">
      <w:pPr>
        <w:jc w:val="both"/>
        <w:rPr>
          <w:rFonts w:eastAsiaTheme="minorEastAsia"/>
        </w:rPr>
      </w:pPr>
      <w:r>
        <w:rPr>
          <w:rFonts w:eastAsiaTheme="minorEastAsia"/>
        </w:rPr>
        <w:t xml:space="preserve">Avec </w:t>
      </w:r>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2π</m:t>
            </m:r>
          </m:num>
          <m:den>
            <m:r>
              <w:rPr>
                <w:rFonts w:ascii="Cambria Math" w:hAnsi="Cambria Math"/>
              </w:rPr>
              <m:t>λ</m:t>
            </m:r>
          </m:den>
        </m:f>
      </m:oMath>
      <w:r>
        <w:rPr>
          <w:rFonts w:eastAsiaTheme="minorEastAsia"/>
        </w:rPr>
        <w:t xml:space="preserve"> et </w:t>
      </w:r>
      <w:r w:rsidRPr="00F50AAD">
        <w:rPr>
          <w:rFonts w:eastAsiaTheme="minorEastAsia"/>
          <w:i/>
          <w:iCs/>
        </w:rPr>
        <w:t>a</w:t>
      </w:r>
      <w:r>
        <w:rPr>
          <w:rFonts w:eastAsiaTheme="minorEastAsia"/>
        </w:rPr>
        <w:t> = rayon de la sphère de Chu</w:t>
      </w:r>
    </w:p>
    <w:p w14:paraId="6E4B0A8B" w14:textId="2951C0B7" w:rsidR="004A6FB8" w:rsidRDefault="004A6FB8" w:rsidP="000F60A8">
      <w:pPr>
        <w:jc w:val="both"/>
        <w:rPr>
          <w:rFonts w:eastAsiaTheme="minorEastAsia"/>
        </w:rPr>
      </w:pPr>
      <w:r>
        <w:rPr>
          <w:rFonts w:eastAsiaTheme="minorEastAsia"/>
        </w:rPr>
        <w:t>Pour une antenne placée sur un plan de masse circulaire de rayon inférieur ou égal à</w:t>
      </w:r>
      <m:oMath>
        <m:r>
          <w:rPr>
            <w:rFonts w:ascii="Cambria Math" w:hAnsi="Cambria Math"/>
          </w:rPr>
          <m:t xml:space="preserve"> λ/4</m:t>
        </m:r>
      </m:oMath>
      <w:r>
        <w:rPr>
          <w:rFonts w:eastAsiaTheme="minorEastAsia"/>
        </w:rPr>
        <w:t>, le rayon de la sphère est déterminé selon le plan de masse. Dans le cas où l’antenne est référen</w:t>
      </w:r>
      <w:r w:rsidR="00CE2029">
        <w:rPr>
          <w:rFonts w:eastAsiaTheme="minorEastAsia"/>
        </w:rPr>
        <w:t>cée par rapport à la terre</w:t>
      </w:r>
      <w:r>
        <w:rPr>
          <w:rFonts w:eastAsiaTheme="minorEastAsia"/>
        </w:rPr>
        <w:t>, où le plan de masse est considéré infini, on utilise l’image électrique de l’antenne pour définir le diamètre de la sphère.</w:t>
      </w:r>
    </w:p>
    <w:p w14:paraId="536806AC" w14:textId="77777777" w:rsidR="004A6FB8" w:rsidRDefault="004A6FB8" w:rsidP="00F54830">
      <w:pPr>
        <w:keepNext/>
        <w:jc w:val="center"/>
      </w:pPr>
      <w:r w:rsidRPr="00A27ED3">
        <w:rPr>
          <w:rFonts w:eastAsiaTheme="minorEastAsia"/>
          <w:noProof/>
          <w:lang w:eastAsia="fr-FR"/>
        </w:rPr>
        <w:lastRenderedPageBreak/>
        <w:drawing>
          <wp:inline distT="0" distB="0" distL="0" distR="0" wp14:anchorId="4DD5327D" wp14:editId="06FED26F">
            <wp:extent cx="4956899" cy="14097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0729" cy="1410789"/>
                    </a:xfrm>
                    <a:prstGeom prst="rect">
                      <a:avLst/>
                    </a:prstGeom>
                    <a:noFill/>
                    <a:ln>
                      <a:noFill/>
                    </a:ln>
                  </pic:spPr>
                </pic:pic>
              </a:graphicData>
            </a:graphic>
          </wp:inline>
        </w:drawing>
      </w:r>
    </w:p>
    <w:p w14:paraId="4FE05D72" w14:textId="556D4DF1" w:rsidR="004A6FB8" w:rsidRDefault="004A6FB8" w:rsidP="00F54830">
      <w:pPr>
        <w:pStyle w:val="Lgende"/>
        <w:jc w:val="center"/>
      </w:pPr>
      <w:r>
        <w:t xml:space="preserve">Figure </w:t>
      </w:r>
      <w:r>
        <w:fldChar w:fldCharType="begin"/>
      </w:r>
      <w:r>
        <w:instrText xml:space="preserve"> SEQ Figure \* ARABIC </w:instrText>
      </w:r>
      <w:r>
        <w:fldChar w:fldCharType="separate"/>
      </w:r>
      <w:r w:rsidR="00F54830">
        <w:rPr>
          <w:noProof/>
        </w:rPr>
        <w:t>23</w:t>
      </w:r>
      <w:r>
        <w:fldChar w:fldCharType="end"/>
      </w:r>
      <w:r>
        <w:t xml:space="preserve"> : Sphère de Chu</w:t>
      </w:r>
    </w:p>
    <w:p w14:paraId="28954102" w14:textId="77777777" w:rsidR="004A6FB8" w:rsidRDefault="004A6FB8" w:rsidP="000F60A8">
      <w:pPr>
        <w:pStyle w:val="Titre3"/>
        <w:jc w:val="both"/>
        <w:rPr>
          <w:rFonts w:eastAsiaTheme="minorEastAsia"/>
        </w:rPr>
      </w:pPr>
      <w:bookmarkStart w:id="58" w:name="_Toc104886673"/>
      <w:r>
        <w:rPr>
          <w:rFonts w:eastAsiaTheme="minorEastAsia"/>
        </w:rPr>
        <w:t>Problèmes d’adaptation</w:t>
      </w:r>
      <w:bookmarkEnd w:id="58"/>
    </w:p>
    <w:p w14:paraId="00EBA4B3" w14:textId="77777777" w:rsidR="004A6FB8" w:rsidRDefault="004A6FB8" w:rsidP="000F60A8">
      <w:pPr>
        <w:jc w:val="both"/>
      </w:pPr>
      <w:r>
        <w:t>Pour les antennes miniatures, l’adaptation parfaite (à une charge de travail de 50 ou 75Ω par exemple) est difficile à obtenir du fait de leurs caractéristiques d’impédance. En effet, ce sont des antennes ayant une impédance d’entrée hautement capacitive ou inductive (selon qu’elle soit respectivement électrique ou magnétique), tandis que leur résistance d’entrée est très faible.</w:t>
      </w:r>
    </w:p>
    <w:p w14:paraId="6B1A18A1" w14:textId="607C6368" w:rsidR="004A6FB8" w:rsidRDefault="004A6FB8" w:rsidP="000F60A8">
      <w:pPr>
        <w:jc w:val="both"/>
        <w:rPr>
          <w:sz w:val="23"/>
          <w:szCs w:val="23"/>
        </w:rPr>
      </w:pPr>
      <w:r>
        <w:t xml:space="preserve">En conséquence, obtenir une bonne adaptation pour une antenne miniature est un problème majeur, car en pratique plus l’antenne est petite et plus elle sera difficile à adapter. Il peut également y avoir des cas où l’adaptation est </w:t>
      </w:r>
      <w:r w:rsidRPr="004B281A">
        <w:t>impossible [</w:t>
      </w:r>
      <w:bookmarkStart w:id="59" w:name="_Hlk80617192"/>
      <w:commentRangeStart w:id="60"/>
      <w:r w:rsidR="00CE2029">
        <w:t>Ref</w:t>
      </w:r>
      <w:commentRangeEnd w:id="60"/>
      <w:r w:rsidR="00CE2029">
        <w:rPr>
          <w:rStyle w:val="Marquedecommentaire"/>
        </w:rPr>
        <w:commentReference w:id="60"/>
      </w:r>
      <w:r w:rsidRPr="004B281A">
        <w:t>].</w:t>
      </w:r>
      <w:bookmarkEnd w:id="59"/>
    </w:p>
    <w:p w14:paraId="632FBBC5" w14:textId="77777777" w:rsidR="004A6FB8" w:rsidRDefault="004A6FB8" w:rsidP="000F60A8">
      <w:pPr>
        <w:pStyle w:val="Titre3"/>
        <w:jc w:val="both"/>
      </w:pPr>
      <w:bookmarkStart w:id="61" w:name="_Toc104886674"/>
      <w:r>
        <w:t>Efficacité de rayonnement et gain</w:t>
      </w:r>
      <w:bookmarkEnd w:id="61"/>
    </w:p>
    <w:p w14:paraId="39434D82" w14:textId="044034C7" w:rsidR="004A6FB8" w:rsidRDefault="004A6FB8" w:rsidP="000F60A8">
      <w:pPr>
        <w:jc w:val="both"/>
        <w:rPr>
          <w:rFonts w:eastAsiaTheme="minorEastAsia"/>
        </w:rPr>
      </w:pPr>
      <w:r>
        <w:t xml:space="preserve">Un paramètre important lors de la conception d’antennes est l’efficacité de rayonnement </w:t>
      </w:r>
      <m:oMath>
        <m:sSub>
          <m:sSubPr>
            <m:ctrlPr>
              <w:rPr>
                <w:rFonts w:ascii="Cambria Math" w:hAnsi="Cambria Math"/>
                <w:i/>
              </w:rPr>
            </m:ctrlPr>
          </m:sSubPr>
          <m:e>
            <m:r>
              <w:rPr>
                <w:rFonts w:ascii="Cambria Math" w:hAnsi="Cambria Math"/>
              </w:rPr>
              <m:t>η</m:t>
            </m:r>
          </m:e>
          <m:sub>
            <m:r>
              <w:rPr>
                <w:rFonts w:ascii="Cambria Math" w:hAnsi="Cambria Math"/>
              </w:rPr>
              <m:t>r</m:t>
            </m:r>
          </m:sub>
        </m:sSub>
      </m:oMath>
      <w:r>
        <w:rPr>
          <w:rFonts w:eastAsiaTheme="minorEastAsia"/>
        </w:rPr>
        <w:t xml:space="preserve"> </w:t>
      </w:r>
      <w:r>
        <w:t xml:space="preserve">de </w:t>
      </w:r>
      <w:r>
        <w:t xml:space="preserve">celle-ci. Elle est définie </w:t>
      </w:r>
      <w:r>
        <w:t xml:space="preserve">comme étant le rapport de la puissance rayonnée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la puissance totale acceptée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étant la somme de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de la puissance dissipée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Pr>
          <w:rFonts w:eastAsiaTheme="minorEastAsia"/>
        </w:rPr>
        <w:t xml:space="preserve">, qui correspond aux pertes de l’antenne. Ce rapport peut également être modélisé par des résistances, selon la loi d’Ohm et l’effet Joule, avec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Sup>
              <m:sSubSupPr>
                <m:ctrlPr>
                  <w:rPr>
                    <w:rFonts w:ascii="Cambria Math" w:hAnsi="Cambria Math"/>
                    <w:i/>
                  </w:rPr>
                </m:ctrlPr>
              </m:sSubSupPr>
              <m:e>
                <m:r>
                  <w:rPr>
                    <w:rFonts w:ascii="Cambria Math" w:hAnsi="Cambria Math"/>
                  </w:rPr>
                  <m:t>I</m:t>
                </m:r>
              </m:e>
              <m:sub>
                <m:r>
                  <w:rPr>
                    <w:rFonts w:ascii="Cambria Math" w:hAnsi="Cambria Math"/>
                  </w:rPr>
                  <m:t>rms</m:t>
                </m:r>
              </m:sub>
              <m:sup>
                <m:r>
                  <w:rPr>
                    <w:rFonts w:ascii="Cambria Math" w:hAnsi="Cambria Math"/>
                  </w:rPr>
                  <m:t>2</m:t>
                </m:r>
              </m:sup>
            </m:sSubSup>
          </m:den>
        </m:f>
      </m:oMath>
      <w:r>
        <w:rPr>
          <w:rFonts w:eastAsiaTheme="minorEastAsia"/>
        </w:rPr>
        <w:t xml:space="preserve"> , où </w:t>
      </w:r>
      <m:oMath>
        <m:sSub>
          <m:sSubPr>
            <m:ctrlPr>
              <w:rPr>
                <w:rFonts w:ascii="Cambria Math" w:hAnsi="Cambria Math"/>
                <w:i/>
              </w:rPr>
            </m:ctrlPr>
          </m:sSubPr>
          <m:e>
            <m:r>
              <w:rPr>
                <w:rFonts w:ascii="Cambria Math" w:hAnsi="Cambria Math"/>
              </w:rPr>
              <m:t>I</m:t>
            </m:r>
          </m:e>
          <m:sub>
            <m:r>
              <w:rPr>
                <w:rFonts w:ascii="Cambria Math" w:hAnsi="Cambria Math"/>
              </w:rPr>
              <m:t>rms</m:t>
            </m:r>
          </m:sub>
        </m:sSub>
      </m:oMath>
      <w:r>
        <w:rPr>
          <w:rFonts w:eastAsiaTheme="minorEastAsia"/>
        </w:rPr>
        <w:t xml:space="preserve"> est la moyenne quadratique du courant au point d’alimentation.</w:t>
      </w:r>
    </w:p>
    <w:p w14:paraId="66013F01" w14:textId="3B0DF298" w:rsidR="004A6FB8" w:rsidRPr="00822F77" w:rsidRDefault="004A6FB8" w:rsidP="000F60A8">
      <w:pPr>
        <w:jc w:val="both"/>
        <w:rPr>
          <w:rFonts w:eastAsiaTheme="minorEastAsia"/>
        </w:rPr>
      </w:pPr>
      <m:oMathPara>
        <m:oMath>
          <m:eqArr>
            <m:eqArrPr>
              <m:maxDist m:val="1"/>
              <m:ctrlPr>
                <w:rPr>
                  <w:rFonts w:ascii="Cambria Math" w:eastAsiaTheme="minorEastAsia" w:hAnsi="Cambria Math"/>
                  <w:i/>
                </w:rPr>
              </m:ctrlPr>
            </m:eqArrPr>
            <m:e>
              <m:sSub>
                <m:sSubPr>
                  <m:ctrlPr>
                    <w:rPr>
                      <w:rFonts w:ascii="Cambria Math" w:hAnsi="Cambria Math"/>
                      <w:i/>
                    </w:rPr>
                  </m:ctrlPr>
                </m:sSubPr>
                <m:e>
                  <m:r>
                    <w:rPr>
                      <w:rFonts w:ascii="Cambria Math" w:hAnsi="Cambria Math"/>
                    </w:rPr>
                    <m:t>η</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
                    <m:sSubPr>
                      <m:ctrlPr>
                        <w:rPr>
                          <w:rFonts w:ascii="Cambria Math" w:hAnsi="Cambria Math"/>
                          <w:i/>
                        </w:rPr>
                      </m:ctrlPr>
                    </m:sSubPr>
                    <m:e>
                      <m:r>
                        <w:rPr>
                          <w:rFonts w:ascii="Cambria Math" w:hAnsi="Cambria Math"/>
                        </w:rPr>
                        <m:t>P</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r</m:t>
                      </m:r>
                    </m:sub>
                  </m:sSub>
                </m:num>
                <m:den>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den>
              </m:f>
              <m:r>
                <w:rPr>
                  <w:rFonts w:ascii="Cambria Math" w:eastAsiaTheme="minorEastAsia" w:hAnsi="Cambria Math"/>
                </w:rPr>
                <m:t xml:space="preserve"> </m:t>
              </m:r>
              <m:ctrlPr>
                <w:rPr>
                  <w:rFonts w:ascii="Cambria Math" w:hAnsi="Cambria Math"/>
                  <w:i/>
                </w:rPr>
              </m:ctrlPr>
            </m:e>
          </m:eqArr>
        </m:oMath>
      </m:oMathPara>
    </w:p>
    <w:p w14:paraId="58DAEDD7" w14:textId="1BCB6787" w:rsidR="004A6FB8" w:rsidRDefault="004A6FB8" w:rsidP="000F60A8">
      <w:pPr>
        <w:jc w:val="both"/>
        <w:rPr>
          <w:rFonts w:eastAsiaTheme="minorEastAsia"/>
        </w:rPr>
      </w:pPr>
      <w:r>
        <w:t xml:space="preserve">Où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est la résistance de rayonnement de l’antenne et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Pr>
          <w:rFonts w:eastAsiaTheme="minorEastAsia"/>
        </w:rPr>
        <w:t xml:space="preserve"> sa résistance de perte. Ainsi, on observe que l’efficacité de rayonnement est maximale lorsqu’il n’y a pas de pertes (</w:t>
      </w:r>
      <m:oMath>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 xml:space="preserve">=0 </m:t>
        </m:r>
        <m:r>
          <m:rPr>
            <m:sty m:val="p"/>
          </m:rPr>
          <w:rPr>
            <w:rFonts w:ascii="Cambria Math" w:hAnsi="Cambria Math"/>
          </w:rPr>
          <m:t>Ω</m:t>
        </m:r>
      </m:oMath>
      <w:r>
        <w:rPr>
          <w:rFonts w:eastAsiaTheme="minorEastAsia"/>
        </w:rPr>
        <w:t xml:space="preserve">). Cependant, en pratique, plus la taille électrique de l’antenne </w:t>
      </w:r>
      <m:oMath>
        <m:r>
          <w:rPr>
            <w:rFonts w:ascii="Cambria Math" w:eastAsiaTheme="minorEastAsia" w:hAnsi="Cambria Math"/>
          </w:rPr>
          <m:t>ka</m:t>
        </m:r>
      </m:oMath>
      <w:r>
        <w:rPr>
          <w:rFonts w:eastAsiaTheme="minorEastAsia"/>
        </w:rPr>
        <w:t xml:space="preserve"> diminue, plus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diminue et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Pr>
          <w:rFonts w:eastAsiaTheme="minorEastAsia"/>
        </w:rPr>
        <w:t xml:space="preserve"> va donc devenir le </w:t>
      </w:r>
      <w:r>
        <w:rPr>
          <w:rFonts w:eastAsiaTheme="minorEastAsia"/>
        </w:rPr>
        <w:t>terme dominant</w:t>
      </w:r>
      <w:r>
        <w:rPr>
          <w:rFonts w:eastAsiaTheme="minorEastAsia"/>
        </w:rPr>
        <w:t>.</w:t>
      </w:r>
    </w:p>
    <w:p w14:paraId="61E34132" w14:textId="2624CC58" w:rsidR="004A6FB8" w:rsidRDefault="004A6FB8" w:rsidP="000F60A8">
      <w:pPr>
        <w:jc w:val="both"/>
        <w:rPr>
          <w:rFonts w:eastAsiaTheme="minorEastAsia"/>
        </w:rPr>
      </w:pPr>
      <w:r>
        <w:rPr>
          <w:rFonts w:eastAsiaTheme="minorEastAsia"/>
        </w:rPr>
        <w:t xml:space="preserve">L’efficacité de rayonnement va ensuite faire varier le gain réalisé </w:t>
      </w:r>
      <w:r w:rsidRPr="0058520D">
        <w:rPr>
          <w:rFonts w:eastAsiaTheme="minorEastAsia"/>
          <w:i/>
        </w:rPr>
        <w:t>G</w:t>
      </w:r>
      <w:r>
        <w:rPr>
          <w:rFonts w:eastAsiaTheme="minorEastAsia"/>
        </w:rPr>
        <w:t xml:space="preserve"> de l’antenne, qui va également être dépendant des pertes par d</w:t>
      </w:r>
      <w:r>
        <w:rPr>
          <w:rFonts w:eastAsiaTheme="minorEastAsia"/>
        </w:rPr>
        <w:t>ésadaptation, selon l’équation</w:t>
      </w:r>
    </w:p>
    <w:p w14:paraId="6649112D" w14:textId="76266C19" w:rsidR="004A6FB8" w:rsidRPr="00822F77" w:rsidRDefault="004A6FB8" w:rsidP="000F60A8">
      <w:pPr>
        <w:jc w:val="both"/>
        <w:rPr>
          <w:rFonts w:eastAsiaTheme="minorEastAsia"/>
        </w:rPr>
      </w:pPr>
      <m:oMathPara>
        <m:oMath>
          <m:eqArr>
            <m:eqArrPr>
              <m:maxDist m:val="1"/>
              <m:ctrlPr>
                <w:rPr>
                  <w:rFonts w:ascii="Cambria Math" w:eastAsiaTheme="minorEastAsia" w:hAnsi="Cambria Math"/>
                  <w:i/>
                </w:rPr>
              </m:ctrlPr>
            </m:eqArrPr>
            <m:e>
              <m:r>
                <w:rPr>
                  <w:rFonts w:ascii="Cambria Math" w:hAnsi="Cambria Math"/>
                </w:rPr>
                <m:t>G=</m:t>
              </m:r>
              <m:sSub>
                <m:sSubPr>
                  <m:ctrlPr>
                    <w:rPr>
                      <w:rFonts w:ascii="Cambria Math" w:hAnsi="Cambria Math"/>
                      <w:i/>
                    </w:rPr>
                  </m:ctrlPr>
                </m:sSubPr>
                <m:e>
                  <m:r>
                    <w:rPr>
                      <w:rFonts w:ascii="Cambria Math" w:hAnsi="Cambria Math"/>
                    </w:rPr>
                    <m:t>η</m:t>
                  </m:r>
                </m:e>
                <m:sub>
                  <m:r>
                    <w:rPr>
                      <w:rFonts w:ascii="Cambria Math" w:hAnsi="Cambria Math"/>
                    </w:rPr>
                    <m:t>r</m:t>
                  </m:r>
                </m:sub>
              </m:sSub>
              <m:r>
                <w:rPr>
                  <w:rFonts w:ascii="Cambria Math" w:hAnsi="Cambria Math"/>
                </w:rPr>
                <m:t>DM</m:t>
              </m:r>
              <m:r>
                <w:rPr>
                  <w:rFonts w:ascii="Cambria Math" w:eastAsiaTheme="minorEastAsia" w:hAnsi="Cambria Math"/>
                </w:rPr>
                <m:t xml:space="preserve"> </m:t>
              </m:r>
              <m:ctrlPr>
                <w:rPr>
                  <w:rFonts w:ascii="Cambria Math" w:hAnsi="Cambria Math"/>
                  <w:i/>
                </w:rPr>
              </m:ctrlPr>
            </m:e>
          </m:eqArr>
        </m:oMath>
      </m:oMathPara>
    </w:p>
    <w:p w14:paraId="1C24C869" w14:textId="77777777" w:rsidR="004A6FB8" w:rsidRDefault="004A6FB8" w:rsidP="000F60A8">
      <w:pPr>
        <w:jc w:val="both"/>
        <w:rPr>
          <w:rFonts w:eastAsiaTheme="minorEastAsia"/>
        </w:rPr>
      </w:pPr>
      <w:r>
        <w:rPr>
          <w:rFonts w:eastAsiaTheme="minorEastAsia"/>
        </w:rPr>
        <w:t xml:space="preserve">Où </w:t>
      </w:r>
      <w:r w:rsidRPr="00BD5CED">
        <w:rPr>
          <w:rFonts w:eastAsiaTheme="minorEastAsia"/>
          <w:i/>
        </w:rPr>
        <w:t>D</w:t>
      </w:r>
      <w:r>
        <w:rPr>
          <w:rFonts w:eastAsiaTheme="minorEastAsia"/>
        </w:rPr>
        <w:t xml:space="preserve"> est la directivité, </w:t>
      </w:r>
      <w:r w:rsidRPr="000C5D71">
        <w:rPr>
          <w:rFonts w:eastAsiaTheme="minorEastAsia"/>
          <w:i/>
          <w:iCs/>
        </w:rPr>
        <w:t>M</w:t>
      </w:r>
      <w:r>
        <w:rPr>
          <w:rFonts w:eastAsiaTheme="minorEastAsia"/>
        </w:rPr>
        <w:t xml:space="preserve"> représente les pertes par désadaptation avec </w:t>
      </w:r>
      <m:oMath>
        <m:r>
          <w:rPr>
            <w:rFonts w:ascii="Cambria Math" w:eastAsiaTheme="minorEastAsia" w:hAnsi="Cambria Math"/>
          </w:rPr>
          <m:t>M=1-</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11</m:t>
                </m:r>
              </m:sub>
            </m:sSub>
          </m:e>
        </m:d>
        <m:r>
          <w:rPr>
            <w:rFonts w:ascii="Cambria Math" w:eastAsiaTheme="minorEastAsia" w:hAnsi="Cambria Math"/>
          </w:rPr>
          <m:t>²</m:t>
        </m:r>
      </m:oMath>
      <w:r>
        <w:rPr>
          <w:rFonts w:eastAsiaTheme="minorEastAsia"/>
        </w:rPr>
        <w:t>.</w:t>
      </w:r>
    </w:p>
    <w:p w14:paraId="4A292E8C" w14:textId="77777777" w:rsidR="004A6FB8" w:rsidRDefault="004A6FB8" w:rsidP="000F60A8">
      <w:pPr>
        <w:jc w:val="both"/>
        <w:rPr>
          <w:rFonts w:eastAsiaTheme="minorEastAsia"/>
        </w:rPr>
      </w:pPr>
      <w:r>
        <w:rPr>
          <w:rFonts w:eastAsiaTheme="minorEastAsia"/>
        </w:rPr>
        <w:t>Ainsi, comme dit précédemment, lorsque l’on va diminuer la taille de l’antenne, elle va être moins bien adaptée, ce qui va accroître les pertes par désadaptation. On comprend alors qu’il est difficile d’avoir une bonne adaptation ainsi qu’un bon gain pour une antenne miniaturisée. C’est pour cela que les gains effectifs de ces antennes sont en général négatifs.</w:t>
      </w:r>
    </w:p>
    <w:p w14:paraId="28EB98DD" w14:textId="77777777" w:rsidR="004A6FB8" w:rsidRPr="0088539A" w:rsidRDefault="004A6FB8" w:rsidP="000F60A8">
      <w:pPr>
        <w:pStyle w:val="Titre3"/>
        <w:jc w:val="both"/>
      </w:pPr>
      <w:bookmarkStart w:id="62" w:name="_Toc104886675"/>
      <w:r>
        <w:t>Facteur de qualité de rayonnement Q</w:t>
      </w:r>
      <w:bookmarkEnd w:id="62"/>
    </w:p>
    <w:p w14:paraId="71540E41" w14:textId="3B092681" w:rsidR="004A6FB8" w:rsidRDefault="004A6FB8" w:rsidP="000F60A8">
      <w:pPr>
        <w:jc w:val="both"/>
        <w:rPr>
          <w:rFonts w:eastAsiaTheme="minorEastAsia"/>
        </w:rPr>
      </w:pPr>
      <w:r>
        <w:rPr>
          <w:rFonts w:eastAsiaTheme="minorEastAsia"/>
        </w:rPr>
        <w:t xml:space="preserve">Un concept fondamental en physique est le facteur de qualité </w:t>
      </w:r>
      <w:r>
        <w:rPr>
          <w:rFonts w:eastAsiaTheme="minorEastAsia"/>
          <w:i/>
        </w:rPr>
        <w:t>Q</w:t>
      </w:r>
      <w:r>
        <w:rPr>
          <w:rFonts w:eastAsiaTheme="minorEastAsia"/>
        </w:rPr>
        <w:t xml:space="preserve">, qui caractérise les systèmes oscillatoires. Il est défini comme étant l’énergie totale à un instant </w:t>
      </w:r>
      <w:r w:rsidRPr="00326219">
        <w:rPr>
          <w:rFonts w:eastAsiaTheme="minorEastAsia"/>
          <w:i/>
        </w:rPr>
        <w:t>t</w:t>
      </w:r>
      <w:r>
        <w:rPr>
          <w:rFonts w:eastAsiaTheme="minorEastAsia"/>
        </w:rPr>
        <w:t xml:space="preserve"> divisée par l’énergie perdue par radian [</w:t>
      </w:r>
      <w:commentRangeStart w:id="63"/>
      <w:r w:rsidR="00CE2029">
        <w:rPr>
          <w:rFonts w:eastAsiaTheme="minorEastAsia"/>
        </w:rPr>
        <w:t>Ref</w:t>
      </w:r>
      <w:commentRangeEnd w:id="63"/>
      <w:r w:rsidR="00CE2029">
        <w:rPr>
          <w:rStyle w:val="Marquedecommentaire"/>
        </w:rPr>
        <w:commentReference w:id="63"/>
      </w:r>
      <w:r>
        <w:rPr>
          <w:rFonts w:eastAsiaTheme="minorEastAsia"/>
        </w:rPr>
        <w:t xml:space="preserve">]. </w:t>
      </w:r>
    </w:p>
    <w:p w14:paraId="40B3C7C1" w14:textId="0D248B1D" w:rsidR="004A6FB8" w:rsidRPr="00822F77" w:rsidRDefault="004A6FB8" w:rsidP="000F60A8">
      <w:pPr>
        <w:jc w:val="both"/>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W</m:t>
                  </m:r>
                </m:num>
                <m:den>
                  <m:f>
                    <m:fPr>
                      <m:ctrlPr>
                        <w:rPr>
                          <w:rFonts w:ascii="Cambria Math" w:eastAsiaTheme="minorEastAsia" w:hAnsi="Cambria Math"/>
                          <w:i/>
                        </w:rPr>
                      </m:ctrlPr>
                    </m:fPr>
                    <m:num>
                      <m:r>
                        <w:rPr>
                          <w:rFonts w:ascii="Cambria Math" w:eastAsiaTheme="minorEastAsia" w:hAnsi="Cambria Math"/>
                        </w:rPr>
                        <m:t>dW</m:t>
                      </m:r>
                    </m:num>
                    <m:den>
                      <m:r>
                        <w:rPr>
                          <w:rFonts w:ascii="Cambria Math" w:eastAsiaTheme="minorEastAsia" w:hAnsi="Cambria Math"/>
                        </w:rPr>
                        <m:t>dϕ</m:t>
                      </m:r>
                    </m:den>
                  </m:f>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ωW</m:t>
                  </m:r>
                </m:num>
                <m:den>
                  <m:f>
                    <m:fPr>
                      <m:ctrlPr>
                        <w:rPr>
                          <w:rFonts w:ascii="Cambria Math" w:eastAsiaTheme="minorEastAsia" w:hAnsi="Cambria Math"/>
                          <w:i/>
                        </w:rPr>
                      </m:ctrlPr>
                    </m:fPr>
                    <m:num>
                      <m:r>
                        <w:rPr>
                          <w:rFonts w:ascii="Cambria Math" w:eastAsiaTheme="minorEastAsia" w:hAnsi="Cambria Math"/>
                        </w:rPr>
                        <m:t>dW</m:t>
                      </m:r>
                    </m:num>
                    <m:den>
                      <m:r>
                        <w:rPr>
                          <w:rFonts w:ascii="Cambria Math" w:eastAsiaTheme="minorEastAsia" w:hAnsi="Cambria Math"/>
                        </w:rPr>
                        <m:t>dt</m:t>
                      </m:r>
                    </m:den>
                  </m:f>
                </m:den>
              </m:f>
            </m:e>
          </m:eqArr>
        </m:oMath>
      </m:oMathPara>
    </w:p>
    <w:p w14:paraId="4C02FF92" w14:textId="77777777" w:rsidR="004A6FB8" w:rsidRDefault="004A6FB8" w:rsidP="000F60A8">
      <w:pPr>
        <w:jc w:val="both"/>
        <w:rPr>
          <w:rFonts w:eastAsiaTheme="minorEastAsia"/>
        </w:rPr>
      </w:pPr>
      <w:r>
        <w:rPr>
          <w:rFonts w:eastAsiaTheme="minorEastAsia"/>
        </w:rPr>
        <w:t xml:space="preserve">Le facteur de qualité permet donc de montrer comment l’énergie d’un système disparait. Par exemple, plus le </w:t>
      </w:r>
      <w:r w:rsidRPr="005B6FBD">
        <w:rPr>
          <w:rFonts w:eastAsiaTheme="minorEastAsia"/>
          <w:i/>
        </w:rPr>
        <w:t>Q</w:t>
      </w:r>
      <w:r>
        <w:rPr>
          <w:rFonts w:eastAsiaTheme="minorEastAsia"/>
        </w:rPr>
        <w:t xml:space="preserve"> est petit, plus l’énergie contenue dans le système sera vite dissipée. Dans le cas des antennes, on va préférer utiliser le terme de facteur de qualité de rayonnement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Avoir 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faible permet au système de rayonner rapidement son énergie, que cela soit sous forme de chaleur ou d’ondes électromagnétiques. Ainsi, en théorie, si une antenne présente un faible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elle aura une bande passante plus large qu’un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plus élevé car elle sera mieux adaptée dans cette bande.</w:t>
      </w:r>
      <w:bookmarkStart w:id="64" w:name="_Hlk81226766"/>
      <w:r>
        <w:rPr>
          <w:rFonts w:eastAsiaTheme="minorEastAsia"/>
        </w:rPr>
        <w:t xml:space="preserve"> Cette relation a été mise en évidence par Wheeler qui a déduit que le facteur de qualité était équivalent à l’inverse de la bande passante à -3 dB </w:t>
      </w:r>
      <m:oMath>
        <m:sSub>
          <m:sSubPr>
            <m:ctrlPr>
              <w:rPr>
                <w:rFonts w:ascii="Cambria Math" w:eastAsiaTheme="minorEastAsia" w:hAnsi="Cambria Math"/>
                <w:i/>
              </w:rPr>
            </m:ctrlPr>
          </m:sSubPr>
          <m:e>
            <m:r>
              <w:rPr>
                <w:rFonts w:ascii="Cambria Math" w:eastAsiaTheme="minorEastAsia" w:hAnsi="Cambria Math"/>
              </w:rPr>
              <m:t>(BP</m:t>
            </m:r>
          </m:e>
          <m:sub>
            <m:r>
              <w:rPr>
                <w:rFonts w:ascii="Cambria Math" w:eastAsiaTheme="minorEastAsia" w:hAnsi="Cambria Math"/>
              </w:rPr>
              <m:t>3dB</m:t>
            </m:r>
          </m:sub>
        </m:sSub>
        <m:r>
          <w:rPr>
            <w:rFonts w:ascii="Cambria Math" w:eastAsiaTheme="minorEastAsia" w:hAnsi="Cambria Math"/>
          </w:rPr>
          <m:t>)</m:t>
        </m:r>
      </m:oMath>
      <w:r>
        <w:rPr>
          <w:rFonts w:eastAsiaTheme="minorEastAsia"/>
        </w:rPr>
        <w:t>.</w:t>
      </w:r>
      <w:bookmarkEnd w:id="64"/>
    </w:p>
    <w:p w14:paraId="2A135051" w14:textId="34DFEA19" w:rsidR="004A6FB8" w:rsidRPr="00822F77" w:rsidRDefault="004A6FB8" w:rsidP="000F60A8">
      <w:pPr>
        <w:jc w:val="both"/>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BP</m:t>
                  </m:r>
                </m:e>
                <m:sub>
                  <m:r>
                    <w:rPr>
                      <w:rFonts w:ascii="Cambria Math" w:eastAsiaTheme="minorEastAsia" w:hAnsi="Cambria Math"/>
                    </w:rPr>
                    <m:t>3dB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Q</m:t>
                  </m:r>
                </m:den>
              </m:f>
              <m:r>
                <w:rPr>
                  <w:rFonts w:ascii="Cambria Math" w:eastAsiaTheme="minorEastAsia" w:hAnsi="Cambria Math"/>
                </w:rPr>
                <m:t xml:space="preserve">  </m:t>
              </m:r>
            </m:e>
          </m:eqArr>
        </m:oMath>
      </m:oMathPara>
    </w:p>
    <w:p w14:paraId="41FD09D1" w14:textId="130569EA" w:rsidR="004A6FB8" w:rsidRDefault="004A6FB8" w:rsidP="000F60A8">
      <w:pPr>
        <w:jc w:val="both"/>
        <w:rPr>
          <w:rFonts w:eastAsiaTheme="minorEastAsia"/>
        </w:rPr>
      </w:pPr>
      <w:r>
        <w:rPr>
          <w:rFonts w:eastAsiaTheme="minorEastAsia"/>
        </w:rPr>
        <w:t>Chu et Wheeler ont repris ce concept pour l’appliquer aux antennes afin de définir les limites physiques des antennes omnidirectionnelles passives. En effet, il est impossible de réaliser une antenne qui soit à la fois petite, efficace et à large bande. Cette limite a ensuite été formulée par McLean [</w:t>
      </w:r>
      <w:commentRangeStart w:id="65"/>
      <w:r w:rsidR="00CE2029">
        <w:rPr>
          <w:rFonts w:eastAsiaTheme="minorEastAsia"/>
        </w:rPr>
        <w:t>Ref</w:t>
      </w:r>
      <w:commentRangeEnd w:id="65"/>
      <w:r w:rsidR="00CE2029">
        <w:rPr>
          <w:rStyle w:val="Marquedecommentaire"/>
        </w:rPr>
        <w:commentReference w:id="65"/>
      </w:r>
      <w:r>
        <w:rPr>
          <w:rFonts w:eastAsiaTheme="minorEastAsia"/>
        </w:rPr>
        <w:t xml:space="preserve">] en fonction du facteur de qualité </w:t>
      </w:r>
      <w:r>
        <w:rPr>
          <w:rFonts w:eastAsiaTheme="minorEastAsia"/>
          <w:i/>
          <w:iCs/>
        </w:rPr>
        <w:t>Q</w:t>
      </w:r>
      <w:r>
        <w:rPr>
          <w:rFonts w:eastAsiaTheme="minorEastAsia"/>
        </w:rPr>
        <w:t xml:space="preserve"> minimal que l’on peut obtenir avec une efficacité de 100%, définie pour le premier mode d’exc</w:t>
      </w:r>
      <w:r w:rsidR="00CE2029">
        <w:rPr>
          <w:rFonts w:eastAsiaTheme="minorEastAsia"/>
        </w:rPr>
        <w:t>itation sphérique comme</w:t>
      </w:r>
      <w:r>
        <w:rPr>
          <w:rFonts w:eastAsiaTheme="minorEastAsia"/>
        </w:rPr>
        <w:t> :</w:t>
      </w:r>
    </w:p>
    <w:p w14:paraId="236E8153" w14:textId="38103C9F" w:rsidR="004A6FB8" w:rsidRPr="00822F77" w:rsidRDefault="004A6FB8" w:rsidP="000F60A8">
      <w:pPr>
        <w:jc w:val="both"/>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ka</m:t>
                              </m:r>
                            </m:e>
                          </m:d>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ka</m:t>
                      </m:r>
                    </m:den>
                  </m:f>
                </m:e>
              </m:d>
              <m:r>
                <w:rPr>
                  <w:rFonts w:ascii="Cambria Math" w:eastAsiaTheme="minorEastAsia" w:hAnsi="Cambria Math"/>
                </w:rPr>
                <m:t xml:space="preserve">  </m:t>
              </m:r>
            </m:e>
          </m:eqArr>
        </m:oMath>
      </m:oMathPara>
    </w:p>
    <w:p w14:paraId="6164244B" w14:textId="6118C09A" w:rsidR="004A6FB8" w:rsidRPr="004C0018" w:rsidRDefault="004A6FB8" w:rsidP="000F60A8">
      <w:pPr>
        <w:jc w:val="both"/>
        <w:rPr>
          <w:rFonts w:eastAsiaTheme="minorEastAsia"/>
        </w:rPr>
      </w:pPr>
      <w:r>
        <w:rPr>
          <w:rFonts w:eastAsiaTheme="minorEastAsia"/>
        </w:rPr>
        <w:t xml:space="preserve">Où </w:t>
      </w:r>
      <m:oMath>
        <m:r>
          <w:rPr>
            <w:rFonts w:ascii="Cambria Math" w:eastAsiaTheme="minorEastAsia" w:hAnsi="Cambria Math"/>
          </w:rPr>
          <m:t>M=1</m:t>
        </m:r>
      </m:oMath>
      <w:r>
        <w:rPr>
          <w:rFonts w:eastAsiaTheme="minorEastAsia"/>
        </w:rPr>
        <w:t xml:space="preserve"> pour une excitation en mode </w:t>
      </w:r>
      <m:oMath>
        <m:sSub>
          <m:sSubPr>
            <m:ctrlPr>
              <w:rPr>
                <w:rFonts w:ascii="Cambria Math" w:eastAsiaTheme="minorEastAsia" w:hAnsi="Cambria Math"/>
                <w:i/>
              </w:rPr>
            </m:ctrlPr>
          </m:sSubPr>
          <m:e>
            <m:r>
              <w:rPr>
                <w:rFonts w:ascii="Cambria Math" w:eastAsiaTheme="minorEastAsia" w:hAnsi="Cambria Math"/>
              </w:rPr>
              <m:t>TM</m:t>
            </m:r>
          </m:e>
          <m:sub>
            <m:r>
              <w:rPr>
                <w:rFonts w:ascii="Cambria Math" w:eastAsiaTheme="minorEastAsia" w:hAnsi="Cambria Math"/>
              </w:rPr>
              <m:t>10</m:t>
            </m:r>
          </m:sub>
        </m:sSub>
      </m:oMath>
      <w:r>
        <w:rPr>
          <w:rFonts w:eastAsiaTheme="minorEastAsia"/>
        </w:rPr>
        <w:t xml:space="preserve"> ou </w:t>
      </w:r>
      <m:oMath>
        <m:sSub>
          <m:sSubPr>
            <m:ctrlPr>
              <w:rPr>
                <w:rFonts w:ascii="Cambria Math" w:eastAsiaTheme="minorEastAsia" w:hAnsi="Cambria Math"/>
                <w:i/>
              </w:rPr>
            </m:ctrlPr>
          </m:sSubPr>
          <m:e>
            <m:r>
              <w:rPr>
                <w:rFonts w:ascii="Cambria Math" w:eastAsiaTheme="minorEastAsia" w:hAnsi="Cambria Math"/>
              </w:rPr>
              <m:t>TE</m:t>
            </m:r>
          </m:e>
          <m:sub>
            <m:r>
              <w:rPr>
                <w:rFonts w:ascii="Cambria Math" w:eastAsiaTheme="minorEastAsia" w:hAnsi="Cambria Math"/>
              </w:rPr>
              <m:t>10</m:t>
            </m:r>
          </m:sub>
        </m:sSub>
      </m:oMath>
      <w:r>
        <w:rPr>
          <w:rFonts w:eastAsiaTheme="minorEastAsia"/>
        </w:rPr>
        <w:t xml:space="preserve"> et </w:t>
      </w:r>
      <m:oMath>
        <m:r>
          <w:rPr>
            <w:rFonts w:ascii="Cambria Math" w:eastAsiaTheme="minorEastAsia" w:hAnsi="Cambria Math"/>
          </w:rPr>
          <m:t>M=2</m:t>
        </m:r>
      </m:oMath>
      <w:r>
        <w:rPr>
          <w:rFonts w:eastAsiaTheme="minorEastAsia"/>
        </w:rPr>
        <w:t xml:space="preserve"> pour une excitation équivalente des deux modes. Cette équation décrit le fait qu’une antenne électriquement petite (</w:t>
      </w:r>
      <m:oMath>
        <m:r>
          <w:rPr>
            <w:rFonts w:ascii="Cambria Math" w:eastAsiaTheme="minorEastAsia" w:hAnsi="Cambria Math"/>
          </w:rPr>
          <m:t>ka≤1</m:t>
        </m:r>
      </m:oMath>
      <w:r>
        <w:rPr>
          <w:rFonts w:eastAsiaTheme="minorEastAsia"/>
        </w:rPr>
        <w:t xml:space="preserve">) implique un </w:t>
      </w:r>
      <w:r>
        <w:rPr>
          <w:rFonts w:eastAsiaTheme="minorEastAsia"/>
          <w:i/>
          <w:iCs/>
        </w:rPr>
        <w:t>Q</w:t>
      </w:r>
      <w:r>
        <w:rPr>
          <w:rFonts w:eastAsiaTheme="minorEastAsia"/>
        </w:rPr>
        <w:t xml:space="preserve"> élevé, ce qui revient à a</w:t>
      </w:r>
      <w:r w:rsidR="00CE2029">
        <w:rPr>
          <w:rFonts w:eastAsiaTheme="minorEastAsia"/>
        </w:rPr>
        <w:t>voir une bande passante étroite.</w:t>
      </w:r>
    </w:p>
    <w:p w14:paraId="49DBCC3D" w14:textId="5A891C6A" w:rsidR="004A6FB8" w:rsidRDefault="004A6FB8" w:rsidP="000F60A8">
      <w:pPr>
        <w:jc w:val="both"/>
        <w:rPr>
          <w:rFonts w:eastAsiaTheme="minorEastAsia"/>
        </w:rPr>
      </w:pPr>
      <w:r>
        <w:t xml:space="preserve">Les équations du paragraphe précédent supposaient que l’on travaillait avec un système sans perte, i.e. avec une efficacité de rayonnement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=1</m:t>
        </m:r>
      </m:oMath>
      <w:r>
        <w:rPr>
          <w:rFonts w:eastAsiaTheme="minorEastAsia"/>
        </w:rPr>
        <w:t xml:space="preserve">, ce qui n’est pas le cas en réalité. Afin de prendre en compte les pertes, on peut exprimer le facteur de qualité total </w:t>
      </w:r>
      <m:oMath>
        <m:r>
          <w:rPr>
            <w:rFonts w:ascii="Cambria Math" w:eastAsiaTheme="minorEastAsia" w:hAnsi="Cambria Math"/>
          </w:rPr>
          <m:t>Q</m:t>
        </m:r>
      </m:oMath>
      <w:r w:rsidR="00CE2029">
        <w:rPr>
          <w:rFonts w:eastAsiaTheme="minorEastAsia"/>
        </w:rPr>
        <w:t xml:space="preserve"> comme </w:t>
      </w:r>
      <w:r>
        <w:rPr>
          <w:rFonts w:eastAsiaTheme="minorEastAsia"/>
        </w:rPr>
        <w:t>:</w:t>
      </w:r>
    </w:p>
    <w:p w14:paraId="10372744" w14:textId="6C962C36" w:rsidR="004A6FB8" w:rsidRPr="00DB0EB7" w:rsidRDefault="004A6FB8" w:rsidP="000F60A8">
      <w:pPr>
        <w:jc w:val="both"/>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r>
                <w:rPr>
                  <w:rFonts w:ascii="Cambria Math" w:eastAsiaTheme="minorEastAsia" w:hAnsi="Cambria Math"/>
                </w:rPr>
                <m:t xml:space="preserve">   </m:t>
              </m:r>
            </m:e>
          </m:eqArr>
        </m:oMath>
      </m:oMathPara>
    </w:p>
    <w:p w14:paraId="2EEA0CC8" w14:textId="7BFA9621" w:rsidR="004A6FB8" w:rsidRDefault="004A6FB8" w:rsidP="000F60A8">
      <w:pPr>
        <w:jc w:val="both"/>
      </w:pPr>
      <w:r>
        <w:t xml:space="preserve">Nous avons vu que le facteur de </w:t>
      </w:r>
      <w:commentRangeStart w:id="66"/>
      <w:r>
        <w:t>qualit</w:t>
      </w:r>
      <w:r w:rsidR="0029102E">
        <w:t>é était lié à la bande passante</w:t>
      </w:r>
      <w:commentRangeEnd w:id="66"/>
      <w:r w:rsidR="0029102E">
        <w:rPr>
          <w:rStyle w:val="Marquedecommentaire"/>
        </w:rPr>
        <w:commentReference w:id="66"/>
      </w:r>
      <w:r w:rsidR="0029102E">
        <w:t xml:space="preserve">. </w:t>
      </w:r>
      <w:r>
        <w:t xml:space="preserve">De manière générale, comme les antennes </w:t>
      </w:r>
      <w:r w:rsidRPr="009B1B85">
        <w:t xml:space="preserve">électriquement petites ont un </w:t>
      </w:r>
      <w:r w:rsidRPr="002B7AD7">
        <w:rPr>
          <w:i/>
        </w:rPr>
        <w:t>ka</w:t>
      </w:r>
      <w:r>
        <w:rPr>
          <w:i/>
        </w:rPr>
        <w:t xml:space="preserve"> </w:t>
      </w:r>
      <w:r w:rsidRPr="002B7AD7">
        <w:rPr>
          <w:i/>
        </w:rPr>
        <w:t>&lt;</w:t>
      </w:r>
      <w:r>
        <w:rPr>
          <w:i/>
        </w:rPr>
        <w:t xml:space="preserve"> </w:t>
      </w:r>
      <w:r w:rsidRPr="002B7AD7">
        <w:rPr>
          <w:i/>
        </w:rPr>
        <w:t>1</w:t>
      </w:r>
      <w:r w:rsidRPr="009B1B85">
        <w:t xml:space="preserve">, il en résulte que le </w:t>
      </w:r>
      <w:commentRangeStart w:id="67"/>
      <w:r w:rsidRPr="009B1B85">
        <w:t>facteur de qualité est élevé</w:t>
      </w:r>
      <w:commentRangeEnd w:id="67"/>
      <w:r w:rsidR="0029102E">
        <w:rPr>
          <w:rStyle w:val="Marquedecommentaire"/>
        </w:rPr>
        <w:commentReference w:id="67"/>
      </w:r>
      <w:r w:rsidRPr="009B1B85">
        <w:t xml:space="preserve">, ce qui va limiter la bande passante du système. </w:t>
      </w:r>
      <w:r>
        <w:t xml:space="preserve">En prenant alors en compte le facteur de qualité total </w:t>
      </w:r>
      <m:oMath>
        <m:r>
          <w:rPr>
            <w:rFonts w:ascii="Cambria Math" w:eastAsiaTheme="minorEastAsia" w:hAnsi="Cambria Math"/>
          </w:rPr>
          <m:t>Q</m:t>
        </m:r>
      </m:oMath>
      <w:r>
        <w:rPr>
          <w:rFonts w:eastAsiaTheme="minorEastAsia"/>
        </w:rPr>
        <w:t>,</w:t>
      </w:r>
      <w:r>
        <w:t xml:space="preserve"> on remarque qu’un compromis peut être trouvé entre avoir un </w:t>
      </w:r>
      <w:r w:rsidRPr="00F4450D">
        <w:rPr>
          <w:i/>
        </w:rPr>
        <w:t>Q</w:t>
      </w:r>
      <w:r>
        <w:t xml:space="preserve"> élevé (bande passante étroite mais bonne efficacité de rayonnement) et avoir un </w:t>
      </w:r>
      <w:r w:rsidRPr="00F4450D">
        <w:rPr>
          <w:i/>
        </w:rPr>
        <w:t>Q</w:t>
      </w:r>
      <w:r>
        <w:t xml:space="preserve"> bas (large bande passante mais efficacité de rayonnement limitée).</w:t>
      </w:r>
    </w:p>
    <w:p w14:paraId="21AD6D96" w14:textId="77777777" w:rsidR="004A6FB8" w:rsidRDefault="004A6FB8" w:rsidP="000F60A8">
      <w:pPr>
        <w:pStyle w:val="Titre3"/>
        <w:jc w:val="both"/>
      </w:pPr>
      <w:bookmarkStart w:id="68" w:name="_Toc81311165"/>
      <w:bookmarkStart w:id="69" w:name="_Toc104886676"/>
      <w:r>
        <w:t>Méthodes de miniaturisation</w:t>
      </w:r>
      <w:bookmarkEnd w:id="68"/>
      <w:bookmarkEnd w:id="69"/>
    </w:p>
    <w:p w14:paraId="1551DECC" w14:textId="77777777" w:rsidR="004A6FB8" w:rsidRPr="003B1409" w:rsidRDefault="004A6FB8" w:rsidP="000F60A8">
      <w:pPr>
        <w:jc w:val="both"/>
      </w:pPr>
      <w:r>
        <w:t>Plusieurs méthodes de miniaturisation existent et sont développées pour plusieurs types d’antennes. Nous pouvons citer par exemple les antennes méandrées, qui permettent de travailler avec une large bande dans des gammes de fréquences assez basses. Cependant, ces antennes ont généralement une efficacité de rayonnement assez faible, ce qui limite leur utilisation. Nous nous concentrerons dans cette partie sur des techniques de miniaturisation basiques et très utilisées lors de la conception d’aériens.</w:t>
      </w:r>
    </w:p>
    <w:p w14:paraId="00DD00A5" w14:textId="015EB7A8" w:rsidR="004A6FB8" w:rsidRDefault="004A6FB8" w:rsidP="000F60A8">
      <w:pPr>
        <w:pStyle w:val="Titre4"/>
        <w:jc w:val="both"/>
      </w:pPr>
      <w:r>
        <w:lastRenderedPageBreak/>
        <w:t xml:space="preserve">Chargement capacitif </w:t>
      </w:r>
    </w:p>
    <w:p w14:paraId="396E66D3" w14:textId="56E28D35" w:rsidR="004A6FB8" w:rsidRDefault="004A6FB8" w:rsidP="000F60A8">
      <w:pPr>
        <w:jc w:val="both"/>
      </w:pPr>
      <w:r>
        <w:t xml:space="preserve">Une première méthode consiste à introduire un chargement capacitif sur l’antenne, ce qui va permettre de supprimer la partie inductive de l’impédance de l’antenne. Ce principe repose sur la distribution homogène du courant le long de l’antenne. </w:t>
      </w:r>
      <w:commentRangeStart w:id="70"/>
      <w:r>
        <w:t xml:space="preserve">Dans </w:t>
      </w:r>
      <w:r w:rsidR="000216AB">
        <w:t>le cas d’un monopôle</w:t>
      </w:r>
      <w:r>
        <w:t>, on peut rallonger l’antenne de part et d’autre du brin principal, dans la direc</w:t>
      </w:r>
      <w:r w:rsidR="000216AB">
        <w:t>tion orthogonale à celle-ci</w:t>
      </w:r>
      <w:commentRangeEnd w:id="70"/>
      <w:r w:rsidR="000216AB">
        <w:rPr>
          <w:rStyle w:val="Marquedecommentaire"/>
        </w:rPr>
        <w:commentReference w:id="70"/>
      </w:r>
      <w:r>
        <w:t>. L’effet sera maximal lorsque le chargement est au bout de l’antenne, car c’est à ce point que le courant est minimal et qu’il nécessite d’être densifié.</w:t>
      </w:r>
    </w:p>
    <w:p w14:paraId="5B6B7EEC" w14:textId="6918FDFA" w:rsidR="004A6FB8" w:rsidRDefault="004A6FB8" w:rsidP="000F60A8">
      <w:pPr>
        <w:jc w:val="both"/>
      </w:pPr>
      <w:r>
        <w:t>En plus de cet effet sur l’impédance, Pinks [</w:t>
      </w:r>
      <w:commentRangeStart w:id="71"/>
      <w:r w:rsidR="006E17C2">
        <w:t>Ref</w:t>
      </w:r>
      <w:r>
        <w:t xml:space="preserve">] </w:t>
      </w:r>
      <w:commentRangeEnd w:id="71"/>
      <w:r w:rsidR="006E17C2">
        <w:rPr>
          <w:rStyle w:val="Marquedecommentaire"/>
        </w:rPr>
        <w:commentReference w:id="71"/>
      </w:r>
      <w:r>
        <w:t>a montré que l’augmentation de la capacitance d’une antenne électriquement petite permettait également d’augmenter l’efficacité de l’antenne. En effet, cela permet d’augmenter le facteur de qualité de l’antenne ce qui, comme nous</w:t>
      </w:r>
      <w:r w:rsidR="000216AB">
        <w:t xml:space="preserve"> l’avons vu dans le </w:t>
      </w:r>
      <w:commentRangeStart w:id="72"/>
      <w:r w:rsidR="000216AB">
        <w:t>paragraphe 2</w:t>
      </w:r>
      <w:r>
        <w:t>.1.4</w:t>
      </w:r>
      <w:commentRangeEnd w:id="72"/>
      <w:r w:rsidR="000216AB">
        <w:rPr>
          <w:rStyle w:val="Marquedecommentaire"/>
        </w:rPr>
        <w:commentReference w:id="72"/>
      </w:r>
      <w:r>
        <w:t>, permet d’obtenir une bonne efficacité de rayonnement.</w:t>
      </w:r>
    </w:p>
    <w:p w14:paraId="45F119F9" w14:textId="77777777" w:rsidR="004A6FB8" w:rsidRDefault="004A6FB8" w:rsidP="000F60A8">
      <w:pPr>
        <w:pStyle w:val="Titre4"/>
        <w:jc w:val="both"/>
      </w:pPr>
      <w:r>
        <w:t>Chargement inductif</w:t>
      </w:r>
    </w:p>
    <w:p w14:paraId="4D7E310F" w14:textId="77777777" w:rsidR="004A6FB8" w:rsidRDefault="004A6FB8" w:rsidP="000F60A8">
      <w:pPr>
        <w:jc w:val="both"/>
      </w:pPr>
      <w:r>
        <w:t>A l’instar du chargement capacitif, le chargement inductif permet de supprimer la partie capacitive de l’impédance de l’antenne, améliorant ainsi son adaptation. Pour cela, on peut placer un composant discret le long d’un fil, ou tout simplement utiliser un fil sous forme de bobine. Plus l’intensité du courant traversant le chargement inductif sera forte et plus l’influence du chargement sera importante, ce qui rend le placement du chargement primordial lors de la conception.</w:t>
      </w:r>
    </w:p>
    <w:p w14:paraId="7D2CF0DA" w14:textId="6737F759" w:rsidR="004A6FB8" w:rsidRDefault="004A6FB8" w:rsidP="000F60A8">
      <w:pPr>
        <w:jc w:val="both"/>
      </w:pPr>
      <w:r>
        <w:t>Cependant, la bande passante et/ou le gain d’une telle antenne seront impactés. En effet, les composants discrets présentent un facteur de qualité, plus ou moins élevé selon la qualité du composant. Ce facteur de qualité va introduire une partie résistive au circuit équivalent de l’antenne, ce qui affecte ses caractéristiques.</w:t>
      </w:r>
    </w:p>
    <w:p w14:paraId="4020C452" w14:textId="77777777" w:rsidR="004A6FB8" w:rsidRDefault="004A6FB8" w:rsidP="000F60A8">
      <w:pPr>
        <w:pStyle w:val="Titre4"/>
        <w:jc w:val="both"/>
      </w:pPr>
      <w:r>
        <w:t>Vitesse de phase</w:t>
      </w:r>
    </w:p>
    <w:p w14:paraId="441851A2" w14:textId="77777777" w:rsidR="004A6FB8" w:rsidRDefault="004A6FB8" w:rsidP="000F60A8">
      <w:pPr>
        <w:jc w:val="both"/>
        <w:rPr>
          <w:rFonts w:eastAsiaTheme="minorEastAsia"/>
        </w:rPr>
      </w:pPr>
      <w:r>
        <w:t xml:space="preserve">Une autre technique de miniaturisation couramment utilisée est le fait d’implémenter dans une antenne des matériaux diélectriques ou magnéto-diélectriques, caractérisés par leurs paramètres </w:t>
      </w:r>
      <m:oMath>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r</m:t>
            </m:r>
          </m:sub>
        </m:sSub>
      </m:oMath>
      <w:r>
        <w:rPr>
          <w:rFonts w:eastAsiaTheme="minorEastAsia"/>
        </w:rPr>
        <w:t xml:space="preserve"> (diélectrique) et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r</m:t>
            </m:r>
          </m:sub>
        </m:sSub>
      </m:oMath>
      <w:r>
        <w:rPr>
          <w:rFonts w:eastAsiaTheme="minorEastAsia"/>
        </w:rPr>
        <w:t xml:space="preserve"> (magnétique) relativement élevés. Une équation de base dans les radiofréquences est la vitesse de phase (11), qui permet de décrire la vitesse d’une onde électromagnétique se propageant dans un milieu.</w:t>
      </w:r>
    </w:p>
    <w:p w14:paraId="74009781" w14:textId="29E3FBAD" w:rsidR="004A6FB8" w:rsidRPr="005D0EB8" w:rsidRDefault="004A6FB8" w:rsidP="000F60A8">
      <w:pPr>
        <w:jc w:val="both"/>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Vp=</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r</m:t>
                          </m:r>
                        </m:sub>
                      </m:sSub>
                    </m:e>
                  </m:rad>
                  <m:r>
                    <w:rPr>
                      <w:rFonts w:ascii="Cambria Math" w:eastAsiaTheme="minorEastAsia" w:hAnsi="Cambria Math"/>
                    </w:rPr>
                    <m:t xml:space="preserve"> </m:t>
                  </m:r>
                </m:den>
              </m:f>
            </m:e>
          </m:eqArr>
        </m:oMath>
      </m:oMathPara>
    </w:p>
    <w:p w14:paraId="55C12008" w14:textId="77777777" w:rsidR="004A6FB8" w:rsidRDefault="004A6FB8" w:rsidP="000F60A8">
      <w:pPr>
        <w:jc w:val="both"/>
        <w:rPr>
          <w:rFonts w:eastAsiaTheme="minorEastAsia"/>
        </w:rPr>
      </w:pPr>
      <w:r>
        <w:rPr>
          <w:rFonts w:eastAsiaTheme="minorEastAsia"/>
        </w:rPr>
        <w:t xml:space="preserve">Avec la permittivité du vide </w:t>
      </w:r>
      <m:oMath>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36π</m:t>
            </m:r>
          </m:den>
        </m:f>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r>
          <w:rPr>
            <w:rFonts w:ascii="Cambria Math" w:eastAsiaTheme="minorEastAsia" w:hAnsi="Cambria Math"/>
          </w:rPr>
          <m:t xml:space="preserve"> F/m</m:t>
        </m:r>
      </m:oMath>
      <w:r>
        <w:rPr>
          <w:rFonts w:eastAsiaTheme="minorEastAsia"/>
        </w:rPr>
        <w:t xml:space="preserve"> ; la perméabilité du vide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0</m:t>
            </m:r>
          </m:sub>
        </m:sSub>
        <m:r>
          <w:rPr>
            <w:rFonts w:ascii="Cambria Math" w:eastAsiaTheme="minorEastAsia" w:hAnsi="Cambria Math"/>
          </w:rPr>
          <m:t>≈4π*</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 xml:space="preserve"> H/m</m:t>
        </m:r>
      </m:oMath>
      <w:r>
        <w:rPr>
          <w:rFonts w:eastAsiaTheme="minorEastAsia"/>
        </w:rPr>
        <w:t xml:space="preserve">. Dans le vide, </w:t>
      </w:r>
      <m:oMath>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r</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r</m:t>
            </m:r>
          </m:sub>
        </m:sSub>
      </m:oMath>
      <w:r>
        <w:rPr>
          <w:rFonts w:eastAsiaTheme="minorEastAsia"/>
        </w:rPr>
        <w:t xml:space="preserve"> sont égaux à 1 et il ne reste donc plus que les constantes. On obtient donc </w:t>
      </w:r>
      <m:oMath>
        <m:r>
          <w:rPr>
            <w:rFonts w:ascii="Cambria Math" w:eastAsiaTheme="minorEastAsia" w:hAnsi="Cambria Math"/>
          </w:rPr>
          <m:t>Vp=</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0</m:t>
                    </m:r>
                  </m:sub>
                </m:sSub>
              </m:e>
            </m:rad>
            <m:r>
              <w:rPr>
                <w:rFonts w:ascii="Cambria Math" w:eastAsiaTheme="minorEastAsia" w:hAnsi="Cambria Math"/>
              </w:rPr>
              <m:t xml:space="preserve"> </m:t>
            </m:r>
          </m:den>
        </m:f>
        <m:r>
          <w:rPr>
            <w:rFonts w:ascii="Cambria Math" w:eastAsiaTheme="minorEastAsia" w:hAnsi="Cambria Math"/>
          </w:rPr>
          <m:t>=299 792 458 m/s</m:t>
        </m:r>
      </m:oMath>
      <w:r>
        <w:rPr>
          <w:rFonts w:eastAsiaTheme="minorEastAsia"/>
        </w:rPr>
        <w:t xml:space="preserve">, correspondant à la célérité de la lumière dans le vide. </w:t>
      </w:r>
    </w:p>
    <w:p w14:paraId="2E799A46" w14:textId="588AA67A" w:rsidR="004A6FB8" w:rsidRPr="00E229D1" w:rsidRDefault="004A6FB8" w:rsidP="000F60A8">
      <w:pPr>
        <w:jc w:val="both"/>
        <w:rPr>
          <w:rFonts w:eastAsiaTheme="minorEastAsia"/>
        </w:rPr>
      </w:pPr>
      <w:r>
        <w:rPr>
          <w:rFonts w:eastAsiaTheme="minorEastAsia"/>
        </w:rPr>
        <w:t>Ainsi, lorsque l’on va implémenter des matériaux diélectriques ou ferromagnétiques dans un aérien, on va diminuer la vitesse de l’onde dans ce milieu, ce qui permet de rendre l’antenne électriquement plus grande : l’onde met plus de temps à parcourir l’antenne (par rapport à l’air), ce qui revient à avoir une</w:t>
      </w:r>
      <w:r w:rsidR="000216AB">
        <w:rPr>
          <w:rFonts w:eastAsiaTheme="minorEastAsia"/>
        </w:rPr>
        <w:t xml:space="preserve"> longueur d’onde plus petite</w:t>
      </w:r>
      <w:r>
        <w:rPr>
          <w:rFonts w:eastAsiaTheme="minorEastAsia"/>
        </w:rPr>
        <w:t>. C’est une méthode très utilisée, dans des plages de fréquences variées, car elle permet d’une manière simple d’avoir de meilleures performances sans pour autant augmenter la taille de l’antenne.</w:t>
      </w:r>
    </w:p>
    <w:p w14:paraId="27792670" w14:textId="570160D1" w:rsidR="006911E5" w:rsidRDefault="00DC1C68" w:rsidP="000F60A8">
      <w:pPr>
        <w:pStyle w:val="Titre2"/>
        <w:jc w:val="both"/>
      </w:pPr>
      <w:bookmarkStart w:id="73" w:name="_Toc104886677"/>
      <w:r>
        <w:t>Antennes Ultra Large B</w:t>
      </w:r>
      <w:r w:rsidR="003E4D82">
        <w:t>ande</w:t>
      </w:r>
      <w:bookmarkEnd w:id="73"/>
    </w:p>
    <w:p w14:paraId="03DC3F46" w14:textId="3582BED0" w:rsidR="006911E5" w:rsidRPr="008C7E76" w:rsidRDefault="008C7E76" w:rsidP="000F60A8">
      <w:pPr>
        <w:jc w:val="both"/>
        <w:rPr>
          <w:rFonts w:eastAsiaTheme="minorEastAsia"/>
        </w:rPr>
      </w:pPr>
      <w:r>
        <w:rPr>
          <w:rFonts w:eastAsiaTheme="minorEastAsia"/>
        </w:rPr>
        <w:t>Les applications de goniométrie étant nombreuses, e</w:t>
      </w:r>
      <w:r w:rsidR="00F54830">
        <w:rPr>
          <w:rFonts w:eastAsiaTheme="minorEastAsia"/>
        </w:rPr>
        <w:t>t étalées sur une large gamm</w:t>
      </w:r>
      <w:r>
        <w:rPr>
          <w:rFonts w:eastAsiaTheme="minorEastAsia"/>
        </w:rPr>
        <w:t>e de fréquence, il est nécessaire de couvrir une large bande de fréquence pour pouvoir recevoir ces signaux.</w:t>
      </w:r>
      <w:r>
        <w:rPr>
          <w:rFonts w:eastAsiaTheme="minorEastAsia"/>
        </w:rPr>
        <w:t xml:space="preserve"> </w:t>
      </w:r>
      <w:r w:rsidR="006911E5">
        <w:t xml:space="preserve">L’Ultra Large </w:t>
      </w:r>
      <w:r w:rsidR="006911E5">
        <w:lastRenderedPageBreak/>
        <w:t xml:space="preserve">Bande </w:t>
      </w:r>
      <w:r w:rsidR="00ED4AE9">
        <w:t xml:space="preserve">(ULB) </w:t>
      </w:r>
      <w:r w:rsidR="006911E5">
        <w:t xml:space="preserve">est définie par la DARPA (The Defence Advanced Research Project Agency) </w:t>
      </w:r>
      <w:r w:rsidR="006911E5">
        <w:rPr>
          <w:rFonts w:eastAsiaTheme="minorEastAsia"/>
        </w:rPr>
        <w:t>[</w:t>
      </w:r>
      <w:commentRangeStart w:id="74"/>
      <w:r w:rsidR="004D5CCA">
        <w:rPr>
          <w:rFonts w:eastAsiaTheme="minorEastAsia"/>
        </w:rPr>
        <w:t>Ref</w:t>
      </w:r>
      <w:commentRangeEnd w:id="74"/>
      <w:r w:rsidR="004D5CCA">
        <w:rPr>
          <w:rStyle w:val="Marquedecommentaire"/>
        </w:rPr>
        <w:commentReference w:id="74"/>
      </w:r>
      <w:r w:rsidR="006911E5">
        <w:t>] par l’équation suivante :</w:t>
      </w:r>
    </w:p>
    <w:p w14:paraId="33740AC4" w14:textId="77777777" w:rsidR="006911E5" w:rsidRPr="00183E79" w:rsidRDefault="00033864" w:rsidP="000F60A8">
      <w:pPr>
        <w:jc w:val="both"/>
        <w:rPr>
          <w:rFonts w:eastAsiaTheme="minorEastAsia"/>
        </w:rPr>
      </w:pPr>
      <m:oMathPara>
        <m:oMath>
          <m:sSub>
            <m:sSubPr>
              <m:ctrlPr>
                <w:rPr>
                  <w:rFonts w:ascii="Cambria Math" w:hAnsi="Cambria Math"/>
                  <w:i/>
                </w:rPr>
              </m:ctrlPr>
            </m:sSubPr>
            <m:e>
              <m:r>
                <w:rPr>
                  <w:rFonts w:ascii="Cambria Math" w:hAnsi="Cambria Math"/>
                </w:rPr>
                <m:t>BP</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e>
              </m:d>
            </m:num>
            <m:den>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≥0.25</m:t>
          </m:r>
        </m:oMath>
      </m:oMathPara>
    </w:p>
    <w:p w14:paraId="2E813128" w14:textId="3A6EE31A" w:rsidR="005C11FC" w:rsidRDefault="006911E5" w:rsidP="000F60A8">
      <w:pPr>
        <w:jc w:val="both"/>
        <w:rPr>
          <w:rFonts w:eastAsiaTheme="minorEastAsia"/>
        </w:rPr>
      </w:pPr>
      <w:r>
        <w:rPr>
          <w:rFonts w:eastAsiaTheme="minorEastAsia"/>
        </w:rPr>
        <w:t xml:space="preserve">Où </w:t>
      </w:r>
      <m:oMath>
        <m:sSub>
          <m:sSubPr>
            <m:ctrlPr>
              <w:rPr>
                <w:rFonts w:ascii="Cambria Math" w:hAnsi="Cambria Math"/>
                <w:i/>
              </w:rPr>
            </m:ctrlPr>
          </m:sSubPr>
          <m:e>
            <m:r>
              <w:rPr>
                <w:rFonts w:ascii="Cambria Math" w:hAnsi="Cambria Math"/>
              </w:rPr>
              <m:t>BP</m:t>
            </m:r>
          </m:e>
          <m:sub>
            <m:r>
              <w:rPr>
                <w:rFonts w:ascii="Cambria Math" w:hAnsi="Cambria Math"/>
              </w:rPr>
              <m:t>r</m:t>
            </m:r>
          </m:sub>
        </m:sSub>
      </m:oMath>
      <w:r>
        <w:rPr>
          <w:rFonts w:eastAsiaTheme="minorEastAsia"/>
        </w:rPr>
        <w:t xml:space="preserve"> est la Bande Passante relative à -10 dB de la puissance maximale émise ;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Pr>
          <w:rFonts w:eastAsiaTheme="minorEastAsia"/>
        </w:rPr>
        <w:t xml:space="preserve"> la fréquence limite haute ;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rPr>
          <w:rFonts w:eastAsiaTheme="minorEastAsia"/>
        </w:rPr>
        <w:t xml:space="preserve"> la fréquence limite basse et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la fréquence centrale. </w:t>
      </w:r>
      <w:r w:rsidR="0078432A">
        <w:rPr>
          <w:rFonts w:eastAsiaTheme="minorEastAsia"/>
        </w:rPr>
        <w:t>Par la suite, la FCC (</w:t>
      </w:r>
      <w:r w:rsidR="0078432A" w:rsidRPr="0078432A">
        <w:rPr>
          <w:rFonts w:eastAsiaTheme="minorEastAsia"/>
          <w:i/>
        </w:rPr>
        <w:t>Federal Communication Commission</w:t>
      </w:r>
      <w:r w:rsidR="0078432A">
        <w:rPr>
          <w:rFonts w:eastAsiaTheme="minorEastAsia"/>
        </w:rPr>
        <w:t>) a remplacé en 2002 cette définition par la suivante : un signal ULB est un signal dont la bande passante relative est au moins supérieure à 20% à sa fréquence centrale.</w:t>
      </w:r>
    </w:p>
    <w:p w14:paraId="05CDCCBC" w14:textId="3BC9269B" w:rsidR="006911E5" w:rsidRDefault="0071406F" w:rsidP="000F60A8">
      <w:pPr>
        <w:jc w:val="both"/>
      </w:pPr>
      <w:r>
        <w:rPr>
          <w:rFonts w:eastAsiaTheme="minorEastAsia"/>
        </w:rPr>
        <w:t xml:space="preserve">Ce principe est </w:t>
      </w:r>
      <w:r w:rsidR="00961C1F">
        <w:rPr>
          <w:rFonts w:eastAsiaTheme="minorEastAsia"/>
        </w:rPr>
        <w:t>également</w:t>
      </w:r>
      <w:r>
        <w:rPr>
          <w:rFonts w:eastAsiaTheme="minorEastAsia"/>
        </w:rPr>
        <w:t xml:space="preserve"> utilisé par les radars Low Probability of Intercept (LPI), qui envoient un signal modulé sur une large bande passante, diminuant ainsi leur densité </w:t>
      </w:r>
      <w:r w:rsidR="00961C1F">
        <w:rPr>
          <w:rFonts w:eastAsiaTheme="minorEastAsia"/>
        </w:rPr>
        <w:t xml:space="preserve">spectrale </w:t>
      </w:r>
      <w:r>
        <w:rPr>
          <w:rFonts w:eastAsiaTheme="minorEastAsia"/>
        </w:rPr>
        <w:t>de puissance ce qui les rend plus difficiles à intercepter</w:t>
      </w:r>
      <w:r w:rsidR="00961C1F">
        <w:rPr>
          <w:rFonts w:eastAsiaTheme="minorEastAsia"/>
        </w:rPr>
        <w:t xml:space="preserve"> par les goniomètres</w:t>
      </w:r>
      <w:r>
        <w:rPr>
          <w:rFonts w:eastAsiaTheme="minorEastAsia"/>
        </w:rPr>
        <w:t>.</w:t>
      </w:r>
    </w:p>
    <w:p w14:paraId="39A56729" w14:textId="77777777" w:rsidR="004F3038" w:rsidRDefault="006911E5" w:rsidP="00F54830">
      <w:pPr>
        <w:keepNext/>
        <w:jc w:val="center"/>
      </w:pPr>
      <w:r>
        <w:rPr>
          <w:noProof/>
          <w:lang w:eastAsia="fr-FR"/>
        </w:rPr>
        <w:drawing>
          <wp:inline distT="0" distB="0" distL="0" distR="0" wp14:anchorId="2D64E034" wp14:editId="11F9E710">
            <wp:extent cx="3102143" cy="1855937"/>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5495" cy="1863925"/>
                    </a:xfrm>
                    <a:prstGeom prst="rect">
                      <a:avLst/>
                    </a:prstGeom>
                  </pic:spPr>
                </pic:pic>
              </a:graphicData>
            </a:graphic>
          </wp:inline>
        </w:drawing>
      </w:r>
    </w:p>
    <w:p w14:paraId="202FA9FB" w14:textId="48F7450E" w:rsidR="006911E5" w:rsidRPr="00CA1D55" w:rsidRDefault="004F3038" w:rsidP="00F54830">
      <w:pPr>
        <w:pStyle w:val="Lgende"/>
        <w:jc w:val="center"/>
      </w:pPr>
      <w:r>
        <w:t xml:space="preserve">Figure </w:t>
      </w:r>
      <w:r w:rsidR="00033864">
        <w:fldChar w:fldCharType="begin"/>
      </w:r>
      <w:r w:rsidR="00033864">
        <w:instrText xml:space="preserve"> SEQ Figure \* ARABIC </w:instrText>
      </w:r>
      <w:r w:rsidR="00033864">
        <w:fldChar w:fldCharType="separate"/>
      </w:r>
      <w:r w:rsidR="00F54830">
        <w:rPr>
          <w:noProof/>
        </w:rPr>
        <w:t>24</w:t>
      </w:r>
      <w:r w:rsidR="00033864">
        <w:rPr>
          <w:noProof/>
        </w:rPr>
        <w:fldChar w:fldCharType="end"/>
      </w:r>
      <w:r>
        <w:t xml:space="preserve"> : </w:t>
      </w:r>
      <w:r w:rsidRPr="006E6BA7">
        <w:t xml:space="preserve">Comparaison des spectres bande étroite et large bande </w:t>
      </w:r>
      <w:commentRangeStart w:id="75"/>
      <w:r w:rsidR="00CA1D55">
        <w:t>[Ref</w:t>
      </w:r>
      <w:commentRangeEnd w:id="75"/>
      <w:r w:rsidR="00CA1D55">
        <w:rPr>
          <w:rStyle w:val="Marquedecommentaire"/>
          <w:i w:val="0"/>
          <w:iCs w:val="0"/>
          <w:color w:val="auto"/>
        </w:rPr>
        <w:commentReference w:id="75"/>
      </w:r>
      <w:r>
        <w:t>]</w:t>
      </w:r>
    </w:p>
    <w:p w14:paraId="72B8086B" w14:textId="426B0BFE" w:rsidR="00351D88" w:rsidRDefault="00B951D7" w:rsidP="000F60A8">
      <w:pPr>
        <w:pStyle w:val="Titre2"/>
        <w:jc w:val="both"/>
      </w:pPr>
      <w:bookmarkStart w:id="76" w:name="_Toc104886678"/>
      <w:r>
        <w:t>Exemples d’</w:t>
      </w:r>
      <w:r w:rsidR="00D569D7">
        <w:t>antennes large bande</w:t>
      </w:r>
      <w:bookmarkEnd w:id="76"/>
    </w:p>
    <w:p w14:paraId="758FE48C" w14:textId="62A20A6C" w:rsidR="005543C1" w:rsidRDefault="005543C1" w:rsidP="000F60A8">
      <w:pPr>
        <w:pStyle w:val="Titre3"/>
        <w:jc w:val="both"/>
      </w:pPr>
      <w:bookmarkStart w:id="77" w:name="_Toc104886679"/>
      <w:r>
        <w:t xml:space="preserve">Antennes </w:t>
      </w:r>
      <w:r w:rsidR="00B3009C">
        <w:t>indépendantes de la fréquence</w:t>
      </w:r>
      <w:bookmarkEnd w:id="77"/>
    </w:p>
    <w:p w14:paraId="69CED053" w14:textId="5A1753FC" w:rsidR="00ED3EF6" w:rsidRDefault="00BF6240" w:rsidP="000F60A8">
      <w:pPr>
        <w:jc w:val="both"/>
      </w:pPr>
      <w:r>
        <w:t>Lors de conception d’antenne, il est possible de varier la fréquence de fonctionnement en diminuant ou augmentant les dimensions de sa géométrie,</w:t>
      </w:r>
      <w:r w:rsidR="008D1C8F">
        <w:t xml:space="preserve"> car</w:t>
      </w:r>
      <w:r>
        <w:t xml:space="preserve"> les performances de l’antenne (diagramme de ra</w:t>
      </w:r>
      <w:r w:rsidR="008D1C8F">
        <w:t xml:space="preserve">yonnement, impédance) sont </w:t>
      </w:r>
      <w:r>
        <w:t>dépendantes de la longueur d’onde. Dans les années 1950, Rumsey proposa le concept d’antennes indépendantes de la fréquence, consistant à utiliser une topologie dont les dimensions ne soient spécifiées que par des angles restant constant par rapport à la longueur d’onde.</w:t>
      </w:r>
      <w:r w:rsidR="008D1C8F">
        <w:t xml:space="preserve"> De cette manière, ces antennes peuvent théoriquement </w:t>
      </w:r>
      <w:r w:rsidR="00ED3EF6">
        <w:t>opérer sur une bande passante infinie. Cependant en pratique la largeur finale de l’angle défini la fréquence basse, tandis que la fréquence haute est limitée par la structure d’alimentation de l’antenne. On peut citer les antennes spirales ou les antennes spirales coniques.</w:t>
      </w:r>
    </w:p>
    <w:p w14:paraId="16C0FD35" w14:textId="5012B116" w:rsidR="00ED3EF6" w:rsidRDefault="00ED3EF6" w:rsidP="000F60A8">
      <w:pPr>
        <w:jc w:val="both"/>
      </w:pPr>
      <w:r>
        <w:t xml:space="preserve">Ces antennes exploitent également un autre concept, celui des antennes </w:t>
      </w:r>
      <w:r w:rsidR="00F54830">
        <w:t>auto-</w:t>
      </w:r>
      <w:r>
        <w:t>complémentaires. Ce type d’antenne fut introduit en 1948 par Mushiake [</w:t>
      </w:r>
      <w:commentRangeStart w:id="78"/>
      <w:r>
        <w:t>Ref]</w:t>
      </w:r>
      <w:commentRangeEnd w:id="78"/>
      <w:r w:rsidR="00F37131">
        <w:rPr>
          <w:rStyle w:val="Marquedecommentaire"/>
        </w:rPr>
        <w:commentReference w:id="78"/>
      </w:r>
      <w:r>
        <w:t xml:space="preserve"> et provient du principe de Babinet, qui énonce que les perturbations lors de la propagation des ondes par des petites ouvertures peuvent être compensées par leurs structures complémentaires. Un exemple commun d’antennes </w:t>
      </w:r>
      <w:r w:rsidR="00F54830">
        <w:t>auto-</w:t>
      </w:r>
      <w:r>
        <w:t>complémentaires est l’antenne dipôle dont le dual est l’antenne à fente.</w:t>
      </w:r>
    </w:p>
    <w:p w14:paraId="0E3DDBFD" w14:textId="77777777" w:rsidR="00ED3EF6" w:rsidRDefault="00ED3EF6" w:rsidP="00F54830">
      <w:pPr>
        <w:keepNext/>
        <w:jc w:val="center"/>
      </w:pPr>
      <w:r>
        <w:rPr>
          <w:noProof/>
          <w:lang w:eastAsia="fr-FR"/>
        </w:rPr>
        <w:lastRenderedPageBreak/>
        <w:drawing>
          <wp:inline distT="0" distB="0" distL="0" distR="0" wp14:anchorId="5C6BD2E7" wp14:editId="2F86CD5F">
            <wp:extent cx="2095500" cy="2400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5500" cy="2400300"/>
                    </a:xfrm>
                    <a:prstGeom prst="rect">
                      <a:avLst/>
                    </a:prstGeom>
                  </pic:spPr>
                </pic:pic>
              </a:graphicData>
            </a:graphic>
          </wp:inline>
        </w:drawing>
      </w:r>
    </w:p>
    <w:p w14:paraId="47FFE20C" w14:textId="3764951C" w:rsidR="00ED3EF6" w:rsidRDefault="00ED3EF6" w:rsidP="00F54830">
      <w:pPr>
        <w:pStyle w:val="Lgende"/>
        <w:jc w:val="center"/>
      </w:pPr>
      <w:r>
        <w:t xml:space="preserve">Figure </w:t>
      </w:r>
      <w:r>
        <w:fldChar w:fldCharType="begin"/>
      </w:r>
      <w:r>
        <w:instrText xml:space="preserve"> SEQ Figure \* ARABIC </w:instrText>
      </w:r>
      <w:r>
        <w:fldChar w:fldCharType="separate"/>
      </w:r>
      <w:r w:rsidR="00F54830">
        <w:rPr>
          <w:noProof/>
        </w:rPr>
        <w:t>25</w:t>
      </w:r>
      <w:r>
        <w:fldChar w:fldCharType="end"/>
      </w:r>
      <w:r>
        <w:t xml:space="preserve"> : Antennes complémentaires (a) dipôle, (b) antenne à fente, [</w:t>
      </w:r>
      <w:commentRangeStart w:id="79"/>
      <w:r>
        <w:t>Ref]</w:t>
      </w:r>
      <w:commentRangeEnd w:id="79"/>
      <w:r>
        <w:rPr>
          <w:rStyle w:val="Marquedecommentaire"/>
          <w:i w:val="0"/>
          <w:iCs w:val="0"/>
          <w:color w:val="auto"/>
        </w:rPr>
        <w:commentReference w:id="79"/>
      </w:r>
    </w:p>
    <w:p w14:paraId="2E274AAA" w14:textId="2D812507" w:rsidR="00ED3EF6" w:rsidRDefault="00ED3EF6" w:rsidP="000F60A8">
      <w:pPr>
        <w:jc w:val="both"/>
      </w:pPr>
      <w:r>
        <w:t>Booker [</w:t>
      </w:r>
      <w:commentRangeStart w:id="80"/>
      <w:r>
        <w:t>Ref</w:t>
      </w:r>
      <w:commentRangeEnd w:id="80"/>
      <w:r>
        <w:rPr>
          <w:rStyle w:val="Marquedecommentaire"/>
        </w:rPr>
        <w:commentReference w:id="80"/>
      </w:r>
      <w:r>
        <w:t xml:space="preserve">] découvra que l’impédance d’un dipôle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et l’impédance de son dual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t xml:space="preserve"> sont liés par la relation</w:t>
      </w:r>
    </w:p>
    <w:p w14:paraId="18274244" w14:textId="06C48732" w:rsidR="00ED3EF6" w:rsidRPr="00ED3EF6" w:rsidRDefault="00ED3EF6" w:rsidP="000F60A8">
      <w:pPr>
        <w:jc w:val="both"/>
      </w:pPr>
      <m:oMathPara>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377</m:t>
                  </m:r>
                </m:e>
                <m:sup>
                  <m:r>
                    <w:rPr>
                      <w:rFonts w:ascii="Cambria Math" w:hAnsi="Cambria Math"/>
                    </w:rPr>
                    <m:t>2</m:t>
                  </m:r>
                </m:sup>
              </m:sSup>
            </m:num>
            <m:den>
              <m:r>
                <w:rPr>
                  <w:rFonts w:ascii="Cambria Math" w:hAnsi="Cambria Math"/>
                </w:rPr>
                <m:t>4</m:t>
              </m:r>
            </m:den>
          </m:f>
        </m:oMath>
      </m:oMathPara>
    </w:p>
    <w:p w14:paraId="55E92DA8" w14:textId="74DC357F" w:rsidR="00ED3EF6" w:rsidRDefault="00ED3EF6" w:rsidP="000F60A8">
      <w:pPr>
        <w:jc w:val="both"/>
      </w:pPr>
      <w:r>
        <w:t>Où 377</w:t>
      </w:r>
      <w:r>
        <w:rPr>
          <w:rFonts w:cstheme="minorHAnsi"/>
        </w:rPr>
        <w:t>Ω</w:t>
      </w:r>
      <w:r>
        <w:t xml:space="preserve"> correspond à l’impédance d’onde du vide. Cette relation a ensuite été reprise par Mushiake</w:t>
      </w:r>
      <w:r w:rsidR="00B3133B">
        <w:t xml:space="preserve"> et développée pour montrer que les antennes complémentaires ont une impédance </w:t>
      </w:r>
      <w:r w:rsidR="00671FD9">
        <w:t xml:space="preserve">d’entrée </w:t>
      </w:r>
      <m:oMath>
        <m:r>
          <w:rPr>
            <w:rFonts w:ascii="Cambria Math" w:hAnsi="Cambria Math"/>
          </w:rPr>
          <m:t>Z</m:t>
        </m:r>
      </m:oMath>
      <w:r w:rsidR="00671FD9">
        <w:t xml:space="preserve"> </w:t>
      </w:r>
      <w:r w:rsidR="00B3133B">
        <w:t xml:space="preserve">constante qui </w:t>
      </w:r>
      <w:r w:rsidR="00671FD9">
        <w:t xml:space="preserve">est </w:t>
      </w:r>
      <w:r w:rsidR="00B3133B">
        <w:t>indépendante de la fréquence, tel que</w:t>
      </w:r>
    </w:p>
    <w:p w14:paraId="755D3C3E" w14:textId="3875825D" w:rsidR="00B3133B" w:rsidRPr="00ED3EF6" w:rsidRDefault="00B3133B" w:rsidP="000F60A8">
      <w:pPr>
        <w:jc w:val="both"/>
      </w:pPr>
      <m:oMathPara>
        <m:oMath>
          <m:r>
            <w:rPr>
              <w:rFonts w:ascii="Cambria Math" w:hAnsi="Cambria Math"/>
            </w:rPr>
            <m:t>Z=</m:t>
          </m:r>
          <m:f>
            <m:fPr>
              <m:ctrlPr>
                <w:rPr>
                  <w:rFonts w:ascii="Cambria Math" w:hAnsi="Cambria Math"/>
                  <w:i/>
                </w:rPr>
              </m:ctrlPr>
            </m:fPr>
            <m:num>
              <m:r>
                <w:rPr>
                  <w:rFonts w:ascii="Cambria Math" w:hAnsi="Cambria Math"/>
                </w:rPr>
                <m:t>377</m:t>
              </m:r>
            </m:num>
            <m:den>
              <m:r>
                <w:rPr>
                  <w:rFonts w:ascii="Cambria Math" w:hAnsi="Cambria Math"/>
                </w:rPr>
                <m:t>2</m:t>
              </m:r>
            </m:den>
          </m:f>
        </m:oMath>
      </m:oMathPara>
    </w:p>
    <w:p w14:paraId="683A7C2E" w14:textId="77777777" w:rsidR="00ED3EF6" w:rsidRDefault="00ED3EF6" w:rsidP="00F54830">
      <w:pPr>
        <w:keepNext/>
        <w:jc w:val="center"/>
      </w:pPr>
      <w:r>
        <w:rPr>
          <w:noProof/>
          <w:lang w:eastAsia="fr-FR"/>
        </w:rPr>
        <w:drawing>
          <wp:inline distT="0" distB="0" distL="0" distR="0" wp14:anchorId="3CC25E89" wp14:editId="07B18B0F">
            <wp:extent cx="4248150" cy="15621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8150" cy="1562100"/>
                    </a:xfrm>
                    <a:prstGeom prst="rect">
                      <a:avLst/>
                    </a:prstGeom>
                  </pic:spPr>
                </pic:pic>
              </a:graphicData>
            </a:graphic>
          </wp:inline>
        </w:drawing>
      </w:r>
    </w:p>
    <w:p w14:paraId="4BFDDCBD" w14:textId="172381BE" w:rsidR="00ED3EF6" w:rsidRDefault="00ED3EF6" w:rsidP="00F54830">
      <w:pPr>
        <w:pStyle w:val="Lgende"/>
        <w:jc w:val="center"/>
      </w:pPr>
      <w:r>
        <w:t xml:space="preserve">Figure </w:t>
      </w:r>
      <w:r>
        <w:fldChar w:fldCharType="begin"/>
      </w:r>
      <w:r>
        <w:instrText xml:space="preserve"> SEQ Figure \* ARABIC </w:instrText>
      </w:r>
      <w:r>
        <w:fldChar w:fldCharType="separate"/>
      </w:r>
      <w:r w:rsidR="00F54830">
        <w:rPr>
          <w:noProof/>
        </w:rPr>
        <w:t>26</w:t>
      </w:r>
      <w:r>
        <w:fldChar w:fldCharType="end"/>
      </w:r>
      <w:r>
        <w:t xml:space="preserve"> : Exemples d'antennes indépendantes de la fréquence et complémentaires : (a) antenne spirale à deux bras, (b) antenne spirale à quatre bras, (c) antennes spirale log périodique à quatre bras [</w:t>
      </w:r>
      <w:commentRangeStart w:id="81"/>
      <w:r>
        <w:t>Ref]</w:t>
      </w:r>
      <w:commentRangeEnd w:id="81"/>
      <w:r>
        <w:rPr>
          <w:rStyle w:val="Marquedecommentaire"/>
          <w:i w:val="0"/>
          <w:iCs w:val="0"/>
          <w:color w:val="auto"/>
        </w:rPr>
        <w:commentReference w:id="81"/>
      </w:r>
    </w:p>
    <w:p w14:paraId="695D33DB" w14:textId="6B3B94AB" w:rsidR="00ED3EF6" w:rsidRPr="00ED3EF6" w:rsidRDefault="00ED3EF6" w:rsidP="000F60A8">
      <w:pPr>
        <w:jc w:val="both"/>
      </w:pPr>
      <w:r>
        <w:t xml:space="preserve">Enfin, on peut également citer les antennes log périodique, qui </w:t>
      </w:r>
      <w:r w:rsidR="00CA1D55">
        <w:t>ont été dévelopés par DuHamel et Isbell en 1957 [</w:t>
      </w:r>
      <w:commentRangeStart w:id="82"/>
      <w:r w:rsidR="00CA1D55">
        <w:t>Ref</w:t>
      </w:r>
      <w:commentRangeEnd w:id="82"/>
      <w:r w:rsidR="00CA1D55">
        <w:rPr>
          <w:rStyle w:val="Marquedecommentaire"/>
        </w:rPr>
        <w:commentReference w:id="82"/>
      </w:r>
      <w:r w:rsidR="00CA1D55">
        <w:t>] qui présentent une large bande passante via leur design dépendant logarithmiquement de la fréquence.</w:t>
      </w:r>
    </w:p>
    <w:p w14:paraId="2B128179" w14:textId="53E960CC" w:rsidR="00E718DD" w:rsidRDefault="00E718DD" w:rsidP="000F60A8">
      <w:pPr>
        <w:pStyle w:val="Titre3"/>
        <w:jc w:val="both"/>
      </w:pPr>
      <w:bookmarkStart w:id="83" w:name="_Toc104886680"/>
      <w:r>
        <w:t>Antenne à onde progressive</w:t>
      </w:r>
      <w:bookmarkEnd w:id="83"/>
    </w:p>
    <w:p w14:paraId="23679341" w14:textId="28B5888F" w:rsidR="00C16B45" w:rsidRDefault="0078432A" w:rsidP="000F60A8">
      <w:pPr>
        <w:jc w:val="both"/>
      </w:pPr>
      <w:r>
        <w:t>Les antennes à onde progressive ont une structure permettant de « guider » la propagation des ondes, leur permettant d’être correctement adaptées sur une large bande de fréquence [</w:t>
      </w:r>
      <w:commentRangeStart w:id="84"/>
      <w:r>
        <w:t>Ref</w:t>
      </w:r>
      <w:commentRangeEnd w:id="84"/>
      <w:r>
        <w:rPr>
          <w:rStyle w:val="Marquedecommentaire"/>
        </w:rPr>
        <w:commentReference w:id="84"/>
      </w:r>
      <w:r>
        <w:t>]. P</w:t>
      </w:r>
      <w:r w:rsidR="00174405">
        <w:t>our cela, on</w:t>
      </w:r>
      <w:r>
        <w:t xml:space="preserve"> utilise généralement une topologie d’antenne évasée pour </w:t>
      </w:r>
      <w:r>
        <w:rPr>
          <w:rStyle w:val="Lienhypertexte"/>
          <w:color w:val="auto"/>
          <w:u w:val="none"/>
        </w:rPr>
        <w:t>passer progressivement de l’impédance caractéristique de l’antenne à celle de l’espace libre (377</w:t>
      </w:r>
      <w:r>
        <w:rPr>
          <w:rStyle w:val="Lienhypertexte"/>
          <w:rFonts w:cstheme="minorHAnsi"/>
          <w:color w:val="auto"/>
          <w:u w:val="none"/>
        </w:rPr>
        <w:t>Ω</w:t>
      </w:r>
      <w:r>
        <w:rPr>
          <w:rStyle w:val="Lienhypertexte"/>
          <w:color w:val="auto"/>
          <w:u w:val="none"/>
        </w:rPr>
        <w:t>).</w:t>
      </w:r>
      <w:r w:rsidR="00E229D1">
        <w:rPr>
          <w:rStyle w:val="Lienhypertexte"/>
          <w:color w:val="auto"/>
          <w:u w:val="none"/>
        </w:rPr>
        <w:t xml:space="preserve"> De plus, une antenne à onde progressive présente un diagramme de rayonnement directif puisque</w:t>
      </w:r>
      <w:r w:rsidR="003F470D">
        <w:rPr>
          <w:rStyle w:val="Lienhypertexte"/>
          <w:color w:val="auto"/>
          <w:u w:val="none"/>
        </w:rPr>
        <w:t xml:space="preserve"> l’onde</w:t>
      </w:r>
      <w:r w:rsidR="00E229D1">
        <w:rPr>
          <w:rStyle w:val="Lienhypertexte"/>
          <w:color w:val="auto"/>
          <w:u w:val="none"/>
        </w:rPr>
        <w:t xml:space="preserve"> ne se propage que dans une direction.</w:t>
      </w:r>
    </w:p>
    <w:p w14:paraId="6010AB21" w14:textId="77777777" w:rsidR="0078432A" w:rsidRDefault="0078432A" w:rsidP="00F54830">
      <w:pPr>
        <w:keepNext/>
        <w:jc w:val="center"/>
      </w:pPr>
      <w:r>
        <w:rPr>
          <w:noProof/>
          <w:lang w:eastAsia="fr-FR"/>
        </w:rPr>
        <w:lastRenderedPageBreak/>
        <w:drawing>
          <wp:inline distT="0" distB="0" distL="0" distR="0" wp14:anchorId="2BEDFFC8" wp14:editId="09B645B5">
            <wp:extent cx="3379470" cy="13335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566" b="14447"/>
                    <a:stretch/>
                  </pic:blipFill>
                  <pic:spPr bwMode="auto">
                    <a:xfrm>
                      <a:off x="0" y="0"/>
                      <a:ext cx="3384858" cy="1335626"/>
                    </a:xfrm>
                    <a:prstGeom prst="rect">
                      <a:avLst/>
                    </a:prstGeom>
                    <a:ln>
                      <a:noFill/>
                    </a:ln>
                    <a:extLst>
                      <a:ext uri="{53640926-AAD7-44D8-BBD7-CCE9431645EC}">
                        <a14:shadowObscured xmlns:a14="http://schemas.microsoft.com/office/drawing/2010/main"/>
                      </a:ext>
                    </a:extLst>
                  </pic:spPr>
                </pic:pic>
              </a:graphicData>
            </a:graphic>
          </wp:inline>
        </w:drawing>
      </w:r>
    </w:p>
    <w:p w14:paraId="358EAD6A" w14:textId="4835150A" w:rsidR="0052285D" w:rsidRPr="0052285D" w:rsidRDefault="0078432A" w:rsidP="00F54830">
      <w:pPr>
        <w:pStyle w:val="Lgende"/>
        <w:jc w:val="center"/>
      </w:pPr>
      <w:r>
        <w:t xml:space="preserve">Figure </w:t>
      </w:r>
      <w:r>
        <w:fldChar w:fldCharType="begin"/>
      </w:r>
      <w:r>
        <w:instrText xml:space="preserve"> SEQ Figure \* ARABIC </w:instrText>
      </w:r>
      <w:r>
        <w:fldChar w:fldCharType="separate"/>
      </w:r>
      <w:r w:rsidR="00F54830">
        <w:rPr>
          <w:noProof/>
        </w:rPr>
        <w:t>27</w:t>
      </w:r>
      <w:r>
        <w:fldChar w:fldCharType="end"/>
      </w:r>
      <w:r>
        <w:t xml:space="preserve"> : Exemples d'antennes à onde progressive : (a) antenne cornet (b)</w:t>
      </w:r>
      <w:r>
        <w:rPr>
          <w:noProof/>
        </w:rPr>
        <w:t xml:space="preserve"> antenne à fente </w:t>
      </w:r>
      <w:r w:rsidR="003E4D82">
        <w:rPr>
          <w:noProof/>
        </w:rPr>
        <w:t>conique</w:t>
      </w:r>
      <w:r w:rsidR="00ED3EF6">
        <w:rPr>
          <w:noProof/>
        </w:rPr>
        <w:t>, [</w:t>
      </w:r>
      <w:commentRangeStart w:id="85"/>
      <w:r w:rsidR="00ED3EF6">
        <w:rPr>
          <w:noProof/>
        </w:rPr>
        <w:t>Ref]</w:t>
      </w:r>
      <w:commentRangeEnd w:id="85"/>
      <w:r w:rsidR="00ED3EF6">
        <w:rPr>
          <w:rStyle w:val="Marquedecommentaire"/>
          <w:i w:val="0"/>
          <w:iCs w:val="0"/>
          <w:color w:val="auto"/>
        </w:rPr>
        <w:commentReference w:id="85"/>
      </w:r>
    </w:p>
    <w:p w14:paraId="7FFDB6DA" w14:textId="77777777" w:rsidR="00A86208" w:rsidRDefault="00A86208" w:rsidP="000F60A8">
      <w:pPr>
        <w:pStyle w:val="Titre4"/>
        <w:jc w:val="both"/>
      </w:pPr>
      <w:r w:rsidRPr="00A86208">
        <w:t>Antennes Vivaldi</w:t>
      </w:r>
    </w:p>
    <w:p w14:paraId="131998BF" w14:textId="226F4361" w:rsidR="00DC0B27" w:rsidRDefault="00A86208" w:rsidP="000F60A8">
      <w:pPr>
        <w:jc w:val="both"/>
        <w:rPr>
          <w:rStyle w:val="Lienhypertexte"/>
          <w:color w:val="auto"/>
          <w:u w:val="none"/>
        </w:rPr>
      </w:pPr>
      <w:r>
        <w:t xml:space="preserve">Le modèle de l’antenne Vivaldi, aussi appelée antenne à fente </w:t>
      </w:r>
      <w:r w:rsidR="003E4D82">
        <w:t>conique</w:t>
      </w:r>
      <w:r>
        <w:t xml:space="preserve"> de par sa structure, a été conceptualisé et présenté par Gibson en 1979</w:t>
      </w:r>
      <w:r w:rsidR="00224252">
        <w:t xml:space="preserve"> [</w:t>
      </w:r>
      <w:commentRangeStart w:id="86"/>
      <w:r w:rsidR="00224252">
        <w:t>Ref</w:t>
      </w:r>
      <w:commentRangeEnd w:id="86"/>
      <w:r w:rsidR="00224252">
        <w:rPr>
          <w:rStyle w:val="Marquedecommentaire"/>
        </w:rPr>
        <w:commentReference w:id="86"/>
      </w:r>
      <w:r w:rsidR="00224252">
        <w:t>]</w:t>
      </w:r>
      <w:r w:rsidR="000F756F">
        <w:rPr>
          <w:rStyle w:val="Lienhypertexte"/>
          <w:color w:val="000000" w:themeColor="text1"/>
          <w:u w:val="none"/>
        </w:rPr>
        <w:t xml:space="preserve">. </w:t>
      </w:r>
      <w:r w:rsidR="005C6778">
        <w:rPr>
          <w:rStyle w:val="Lienhypertexte"/>
          <w:color w:val="auto"/>
          <w:u w:val="none"/>
        </w:rPr>
        <w:t>La forme de l’antenne ressemblant à un violon, Gibson nomma cette structure en référence au compositeur et violoniste Antonio Vivaldi</w:t>
      </w:r>
      <w:r w:rsidR="005C6778">
        <w:rPr>
          <w:rStyle w:val="Appelnotedebasdep"/>
        </w:rPr>
        <w:footnoteReference w:id="1"/>
      </w:r>
      <w:r w:rsidR="005C6778">
        <w:rPr>
          <w:rStyle w:val="Lienhypertexte"/>
          <w:color w:val="auto"/>
          <w:u w:val="none"/>
        </w:rPr>
        <w:t>. C</w:t>
      </w:r>
      <w:r>
        <w:rPr>
          <w:rStyle w:val="Lienhypertexte"/>
          <w:color w:val="auto"/>
          <w:u w:val="none"/>
        </w:rPr>
        <w:t xml:space="preserve">ette antenne est polarisée linéairement, </w:t>
      </w:r>
      <w:r w:rsidR="003E4D82">
        <w:rPr>
          <w:rStyle w:val="Lienhypertexte"/>
          <w:color w:val="auto"/>
          <w:u w:val="none"/>
        </w:rPr>
        <w:t xml:space="preserve">a une structure planaire </w:t>
      </w:r>
      <w:r>
        <w:rPr>
          <w:rStyle w:val="Lienhypertexte"/>
          <w:color w:val="auto"/>
          <w:u w:val="none"/>
        </w:rPr>
        <w:t>et permet d’obtenir une large bande passante via la courbure exponentielle des bras.</w:t>
      </w:r>
      <w:r w:rsidR="00DC0B27">
        <w:rPr>
          <w:rStyle w:val="Lienhypertexte"/>
          <w:color w:val="auto"/>
          <w:u w:val="none"/>
        </w:rPr>
        <w:t xml:space="preserve"> </w:t>
      </w:r>
      <w:r w:rsidR="00932EB5">
        <w:rPr>
          <w:rStyle w:val="Lienhypertexte"/>
          <w:color w:val="auto"/>
          <w:u w:val="none"/>
        </w:rPr>
        <w:t>Cette topologie peut être alimentée par couplage via une ligne microruban, ou bien tout simplement via un câble coaxial reliant les deux bras de l’antenne</w:t>
      </w:r>
      <w:r w:rsidR="009300A2">
        <w:rPr>
          <w:rStyle w:val="Lienhypertexte"/>
          <w:color w:val="auto"/>
          <w:u w:val="none"/>
        </w:rPr>
        <w:t>, avec l’âme sur une face et la gaine métallique sur l’autre</w:t>
      </w:r>
      <w:r w:rsidR="00932EB5">
        <w:rPr>
          <w:rStyle w:val="Lienhypertexte"/>
          <w:color w:val="auto"/>
          <w:u w:val="none"/>
        </w:rPr>
        <w:t>.</w:t>
      </w:r>
    </w:p>
    <w:p w14:paraId="352C00BF" w14:textId="67C05812" w:rsidR="00D03B2E" w:rsidRDefault="00D03B2E" w:rsidP="000F60A8">
      <w:pPr>
        <w:jc w:val="both"/>
      </w:pPr>
      <w:r>
        <w:rPr>
          <w:rStyle w:val="Lienhypertexte"/>
          <w:color w:val="auto"/>
          <w:u w:val="none"/>
        </w:rPr>
        <w:t xml:space="preserve">Cette topologie présente de nombreux avantages, notamment sa large bande passante avec un gain constant, la possibilité d’obtenir un diagramme directif, sa facilité de production ainsi qu’un faible coût, la rendant intéressante pour des applications radar, 5G, </w:t>
      </w:r>
      <w:r>
        <w:t>ultra large bande (ULB) ou bien millimétrique.</w:t>
      </w:r>
    </w:p>
    <w:p w14:paraId="7F594DD8" w14:textId="77777777" w:rsidR="00852F58" w:rsidRDefault="00852F58" w:rsidP="00F54830">
      <w:pPr>
        <w:keepNext/>
        <w:jc w:val="center"/>
      </w:pPr>
      <w:r>
        <w:rPr>
          <w:noProof/>
          <w:lang w:eastAsia="fr-FR"/>
        </w:rPr>
        <w:drawing>
          <wp:inline distT="0" distB="0" distL="0" distR="0" wp14:anchorId="6BC4BE57" wp14:editId="75C6F8A7">
            <wp:extent cx="2018581" cy="2002973"/>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0567" cy="2014867"/>
                    </a:xfrm>
                    <a:prstGeom prst="rect">
                      <a:avLst/>
                    </a:prstGeom>
                  </pic:spPr>
                </pic:pic>
              </a:graphicData>
            </a:graphic>
          </wp:inline>
        </w:drawing>
      </w:r>
    </w:p>
    <w:p w14:paraId="6936E03D" w14:textId="121819FF" w:rsidR="00DC0B27" w:rsidRDefault="00852F58" w:rsidP="00F54830">
      <w:pPr>
        <w:pStyle w:val="Lgende"/>
        <w:jc w:val="center"/>
      </w:pPr>
      <w:r>
        <w:t xml:space="preserve">Figure </w:t>
      </w:r>
      <w:r w:rsidR="00033864">
        <w:fldChar w:fldCharType="begin"/>
      </w:r>
      <w:r w:rsidR="00033864">
        <w:instrText xml:space="preserve"> SEQ Figure \* ARABIC </w:instrText>
      </w:r>
      <w:r w:rsidR="00033864">
        <w:fldChar w:fldCharType="separate"/>
      </w:r>
      <w:r w:rsidR="00F54830">
        <w:rPr>
          <w:noProof/>
        </w:rPr>
        <w:t>28</w:t>
      </w:r>
      <w:r w:rsidR="00033864">
        <w:rPr>
          <w:noProof/>
        </w:rPr>
        <w:fldChar w:fldCharType="end"/>
      </w:r>
      <w:r>
        <w:t xml:space="preserve"> : </w:t>
      </w:r>
      <w:commentRangeStart w:id="87"/>
      <w:r>
        <w:t>Topologie de l'antenne Vivaldi alimentée par couplage [Réf</w:t>
      </w:r>
      <w:commentRangeEnd w:id="87"/>
      <w:r>
        <w:rPr>
          <w:rStyle w:val="Marquedecommentaire"/>
          <w:i w:val="0"/>
          <w:iCs w:val="0"/>
          <w:color w:val="auto"/>
        </w:rPr>
        <w:commentReference w:id="87"/>
      </w:r>
      <w:r>
        <w:t>]</w:t>
      </w:r>
    </w:p>
    <w:p w14:paraId="42145FD2" w14:textId="6A133629" w:rsidR="003279AB" w:rsidRPr="003279AB" w:rsidRDefault="003279AB" w:rsidP="000F60A8">
      <w:pPr>
        <w:jc w:val="both"/>
      </w:pPr>
      <w:r w:rsidRPr="003279AB">
        <w:rPr>
          <w:rStyle w:val="Lienhypertexte"/>
          <w:color w:val="000000" w:themeColor="text1"/>
          <w:u w:val="none"/>
        </w:rPr>
        <w:t>Le profil de cette ouverture peut prendre différente formes,</w:t>
      </w:r>
      <w:r w:rsidR="0087696D">
        <w:rPr>
          <w:rStyle w:val="Lienhypertexte"/>
          <w:color w:val="000000" w:themeColor="text1"/>
          <w:u w:val="none"/>
        </w:rPr>
        <w:t xml:space="preserve"> comme notamment une courbure linéaire ou bien linéaire constante,</w:t>
      </w:r>
      <w:r w:rsidRPr="003279AB">
        <w:rPr>
          <w:rStyle w:val="Lienhypertexte"/>
          <w:color w:val="000000" w:themeColor="text1"/>
          <w:u w:val="none"/>
        </w:rPr>
        <w:t xml:space="preserve"> mais la plus commune reste l’ouverture exponentielle.</w:t>
      </w:r>
    </w:p>
    <w:p w14:paraId="4620E73A" w14:textId="77777777" w:rsidR="00703DEE" w:rsidRDefault="003279AB" w:rsidP="00F54830">
      <w:pPr>
        <w:keepNext/>
        <w:jc w:val="center"/>
      </w:pPr>
      <w:r>
        <w:rPr>
          <w:noProof/>
          <w:lang w:eastAsia="fr-FR"/>
        </w:rPr>
        <w:lastRenderedPageBreak/>
        <w:drawing>
          <wp:inline distT="0" distB="0" distL="0" distR="0" wp14:anchorId="1E85905A" wp14:editId="4A7AF4EE">
            <wp:extent cx="5049243" cy="163741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60563" cy="1641085"/>
                    </a:xfrm>
                    <a:prstGeom prst="rect">
                      <a:avLst/>
                    </a:prstGeom>
                  </pic:spPr>
                </pic:pic>
              </a:graphicData>
            </a:graphic>
          </wp:inline>
        </w:drawing>
      </w:r>
    </w:p>
    <w:p w14:paraId="6DA4D036" w14:textId="70A280EF" w:rsidR="003279AB" w:rsidRPr="004F1990" w:rsidRDefault="00703DEE" w:rsidP="00F54830">
      <w:pPr>
        <w:pStyle w:val="Lgende"/>
        <w:jc w:val="center"/>
        <w:rPr>
          <w:color w:val="000000" w:themeColor="text1"/>
          <w:u w:val="single"/>
        </w:rPr>
      </w:pPr>
      <w:r>
        <w:t xml:space="preserve">Figure </w:t>
      </w:r>
      <w:r w:rsidR="00033864">
        <w:fldChar w:fldCharType="begin"/>
      </w:r>
      <w:r w:rsidR="00033864">
        <w:instrText xml:space="preserve"> SEQ Figure \* ARABIC </w:instrText>
      </w:r>
      <w:r w:rsidR="00033864">
        <w:fldChar w:fldCharType="separate"/>
      </w:r>
      <w:r w:rsidR="00F54830">
        <w:rPr>
          <w:noProof/>
        </w:rPr>
        <w:t>29</w:t>
      </w:r>
      <w:r w:rsidR="00033864">
        <w:rPr>
          <w:noProof/>
        </w:rPr>
        <w:fldChar w:fldCharType="end"/>
      </w:r>
      <w:r>
        <w:t xml:space="preserve"> : Différentes formes d'ouverture, (a) exponentielle, (b) linéaire, (c) linéaire constante</w:t>
      </w:r>
      <w:r w:rsidR="004F1990">
        <w:t xml:space="preserve">, </w:t>
      </w:r>
      <w:commentRangeStart w:id="88"/>
      <w:r w:rsidR="004F1990">
        <w:t>[Ref</w:t>
      </w:r>
      <w:commentRangeEnd w:id="88"/>
      <w:r w:rsidR="004F1990">
        <w:rPr>
          <w:rStyle w:val="Marquedecommentaire"/>
          <w:i w:val="0"/>
          <w:iCs w:val="0"/>
          <w:color w:val="auto"/>
        </w:rPr>
        <w:commentReference w:id="88"/>
      </w:r>
      <w:r w:rsidR="004F1990">
        <w:t>]</w:t>
      </w:r>
    </w:p>
    <w:p w14:paraId="22AEC9F8" w14:textId="57FF8E55" w:rsidR="00932EB5" w:rsidRDefault="00932EB5" w:rsidP="000F60A8">
      <w:pPr>
        <w:jc w:val="both"/>
      </w:pPr>
      <w:r>
        <w:rPr>
          <w:rStyle w:val="Lienhypertexte"/>
          <w:color w:val="auto"/>
          <w:u w:val="none"/>
        </w:rPr>
        <w:t>Afin de réduire l’amplitude</w:t>
      </w:r>
      <w:r w:rsidR="00000ECD">
        <w:rPr>
          <w:rStyle w:val="Lienhypertexte"/>
          <w:color w:val="auto"/>
          <w:u w:val="none"/>
        </w:rPr>
        <w:t xml:space="preserve"> des lobes secondaires, arrière</w:t>
      </w:r>
      <w:r>
        <w:rPr>
          <w:rStyle w:val="Lienhypertexte"/>
          <w:color w:val="auto"/>
          <w:u w:val="none"/>
        </w:rPr>
        <w:t xml:space="preserve"> et pour améliorer le coefficient de réflexion, Gazit proposa une version modifiée de l’antenne Vivaldi, appelée antenne Vivaldi antipodale</w:t>
      </w:r>
      <w:r w:rsidR="004213C0">
        <w:rPr>
          <w:rStyle w:val="Lienhypertexte"/>
          <w:color w:val="auto"/>
          <w:u w:val="none"/>
        </w:rPr>
        <w:t xml:space="preserve"> [</w:t>
      </w:r>
      <w:commentRangeStart w:id="89"/>
      <w:r w:rsidR="004213C0">
        <w:rPr>
          <w:rStyle w:val="Lienhypertexte"/>
          <w:color w:val="auto"/>
          <w:u w:val="none"/>
        </w:rPr>
        <w:t>Ref</w:t>
      </w:r>
      <w:commentRangeEnd w:id="89"/>
      <w:r w:rsidR="004213C0">
        <w:rPr>
          <w:rStyle w:val="Marquedecommentaire"/>
        </w:rPr>
        <w:commentReference w:id="89"/>
      </w:r>
      <w:r w:rsidR="004213C0">
        <w:rPr>
          <w:rStyle w:val="Lienhypertexte"/>
          <w:color w:val="auto"/>
          <w:u w:val="none"/>
        </w:rPr>
        <w:t xml:space="preserve">]. </w:t>
      </w:r>
      <w:r>
        <w:t>Les bras sont ici positionnés de manière symétrique sur les deux faces du diélectrique, où la face du dessus va jouer le rôle du conducteur, tandis que l’autre agit comme la masse.</w:t>
      </w:r>
      <w:r w:rsidR="00555AE0">
        <w:t xml:space="preserve"> </w:t>
      </w:r>
      <w:r w:rsidR="00ED7F0C">
        <w:t>Cependant, le fait que les deux bras ne soient pas sur la même face implique que le champ électrique ne soit pas parfaitement polarisé horizontalement,</w:t>
      </w:r>
      <w:r w:rsidR="00710FDF">
        <w:t xml:space="preserve"> ce qui augmente alors la </w:t>
      </w:r>
      <w:r w:rsidR="00ED7F0C">
        <w:t>polarisation</w:t>
      </w:r>
      <w:r w:rsidR="00710FDF">
        <w:t xml:space="preserve"> croisée</w:t>
      </w:r>
      <w:r w:rsidR="00ED7F0C">
        <w:t xml:space="preserve"> du système</w:t>
      </w:r>
      <w:r w:rsidR="002D5470">
        <w:t>, notamment en haut de bande où l’écart est électriquement plus large</w:t>
      </w:r>
      <w:r w:rsidR="00ED7F0C">
        <w:t>.</w:t>
      </w:r>
    </w:p>
    <w:p w14:paraId="45D32794" w14:textId="77777777" w:rsidR="003672F1" w:rsidRDefault="003672F1" w:rsidP="00F54830">
      <w:pPr>
        <w:keepNext/>
        <w:jc w:val="center"/>
      </w:pPr>
      <w:r>
        <w:rPr>
          <w:noProof/>
          <w:lang w:eastAsia="fr-FR"/>
        </w:rPr>
        <w:drawing>
          <wp:inline distT="0" distB="0" distL="0" distR="0" wp14:anchorId="2EA38F20" wp14:editId="15F45A80">
            <wp:extent cx="2413591" cy="2391977"/>
            <wp:effectExtent l="0" t="0" r="635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2014" cy="2439966"/>
                    </a:xfrm>
                    <a:prstGeom prst="rect">
                      <a:avLst/>
                    </a:prstGeom>
                  </pic:spPr>
                </pic:pic>
              </a:graphicData>
            </a:graphic>
          </wp:inline>
        </w:drawing>
      </w:r>
    </w:p>
    <w:p w14:paraId="039C026E" w14:textId="5660DD8C" w:rsidR="003672F1" w:rsidRDefault="003672F1" w:rsidP="00F54830">
      <w:pPr>
        <w:pStyle w:val="Lgende"/>
        <w:jc w:val="center"/>
      </w:pPr>
      <w:r>
        <w:t xml:space="preserve">Figure </w:t>
      </w:r>
      <w:r w:rsidR="00033864">
        <w:fldChar w:fldCharType="begin"/>
      </w:r>
      <w:r w:rsidR="00033864">
        <w:instrText xml:space="preserve"> SEQ Figure \* ARABIC </w:instrText>
      </w:r>
      <w:r w:rsidR="00033864">
        <w:fldChar w:fldCharType="separate"/>
      </w:r>
      <w:r w:rsidR="00F54830">
        <w:rPr>
          <w:noProof/>
        </w:rPr>
        <w:t>30</w:t>
      </w:r>
      <w:r w:rsidR="00033864">
        <w:rPr>
          <w:noProof/>
        </w:rPr>
        <w:fldChar w:fldCharType="end"/>
      </w:r>
      <w:r>
        <w:t xml:space="preserve"> : Topologie </w:t>
      </w:r>
      <w:commentRangeStart w:id="90"/>
      <w:r>
        <w:t>de l'antenne Vivaldi antipodale</w:t>
      </w:r>
      <w:r w:rsidR="006616D7">
        <w:t xml:space="preserve"> [Ref]</w:t>
      </w:r>
      <w:commentRangeEnd w:id="90"/>
      <w:r w:rsidR="006616D7">
        <w:rPr>
          <w:rStyle w:val="Marquedecommentaire"/>
          <w:i w:val="0"/>
          <w:iCs w:val="0"/>
          <w:color w:val="auto"/>
        </w:rPr>
        <w:commentReference w:id="90"/>
      </w:r>
    </w:p>
    <w:p w14:paraId="5B75A796" w14:textId="774F6CFA" w:rsidR="00ED7F0C" w:rsidRDefault="00ED7F0C" w:rsidP="000F60A8">
      <w:pPr>
        <w:jc w:val="both"/>
      </w:pPr>
      <w:r>
        <w:t>Une dernière version de l’antenne Vivaldi, appelée couramment Vivaldi antipodale équilibrée, consiste à ajouter une ligne micro ruban entre les deux bras de l’antenne, ce qui permet d</w:t>
      </w:r>
      <w:r w:rsidR="00710FDF">
        <w:t xml:space="preserve">e réduire la </w:t>
      </w:r>
      <w:r>
        <w:t>polarisation</w:t>
      </w:r>
      <w:r w:rsidR="00710FDF">
        <w:t xml:space="preserve"> croisée</w:t>
      </w:r>
      <w:r>
        <w:t>.</w:t>
      </w:r>
      <w:r w:rsidR="00AB29BB">
        <w:t xml:space="preserve"> En effet, via l’utilisation de deux plaques positionnées symétriquement sur les deux faces du substrat, deux vecteurs de polarisation croisée de sens opposés vont être créés, et vont donc s’annuler entre eux. </w:t>
      </w:r>
      <w:r w:rsidR="00943631">
        <w:t>En contrepartie un phénomène de d’inclinaison du faisceau de rayonnement apparaît, notamment en haut de bande qui est causé par la distribution de courant déséquilibrée par la transition entre la ligne microruban et les bras, mais peut être rectifié via une lentille diélectrique [</w:t>
      </w:r>
      <w:commentRangeStart w:id="91"/>
      <w:r w:rsidR="00943631">
        <w:t>Ref</w:t>
      </w:r>
      <w:commentRangeEnd w:id="91"/>
      <w:r w:rsidR="00943631">
        <w:rPr>
          <w:rStyle w:val="Marquedecommentaire"/>
        </w:rPr>
        <w:commentReference w:id="91"/>
      </w:r>
      <w:r w:rsidR="00943631">
        <w:t>]</w:t>
      </w:r>
      <w:r w:rsidR="00555AE0">
        <w:t>. C</w:t>
      </w:r>
      <w:r w:rsidR="0051145F">
        <w:t xml:space="preserve">ette configuration étant </w:t>
      </w:r>
      <w:r w:rsidR="00555AE0">
        <w:t xml:space="preserve">cependant </w:t>
      </w:r>
      <w:r w:rsidR="0051145F">
        <w:t>multicouche, elle augmente le coût</w:t>
      </w:r>
      <w:r w:rsidR="00F50841">
        <w:t>,</w:t>
      </w:r>
      <w:r w:rsidR="0051145F">
        <w:t xml:space="preserve"> la taille et la complexité de la solution.</w:t>
      </w:r>
    </w:p>
    <w:p w14:paraId="51B2A242" w14:textId="77777777" w:rsidR="00ED7F0C" w:rsidRDefault="00ED7F0C" w:rsidP="00F54830">
      <w:pPr>
        <w:keepNext/>
        <w:jc w:val="center"/>
      </w:pPr>
      <w:r>
        <w:rPr>
          <w:noProof/>
          <w:lang w:eastAsia="fr-FR"/>
        </w:rPr>
        <w:lastRenderedPageBreak/>
        <w:drawing>
          <wp:inline distT="0" distB="0" distL="0" distR="0" wp14:anchorId="77F6A8EE" wp14:editId="371D7107">
            <wp:extent cx="4412512" cy="2593078"/>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21645"/>
                    <a:stretch/>
                  </pic:blipFill>
                  <pic:spPr bwMode="auto">
                    <a:xfrm>
                      <a:off x="0" y="0"/>
                      <a:ext cx="4449343" cy="2614722"/>
                    </a:xfrm>
                    <a:prstGeom prst="rect">
                      <a:avLst/>
                    </a:prstGeom>
                    <a:ln>
                      <a:noFill/>
                    </a:ln>
                    <a:extLst>
                      <a:ext uri="{53640926-AAD7-44D8-BBD7-CCE9431645EC}">
                        <a14:shadowObscured xmlns:a14="http://schemas.microsoft.com/office/drawing/2010/main"/>
                      </a:ext>
                    </a:extLst>
                  </pic:spPr>
                </pic:pic>
              </a:graphicData>
            </a:graphic>
          </wp:inline>
        </w:drawing>
      </w:r>
    </w:p>
    <w:p w14:paraId="6976B450" w14:textId="46B8C598" w:rsidR="00ED7F0C" w:rsidRDefault="00ED7F0C" w:rsidP="00F54830">
      <w:pPr>
        <w:pStyle w:val="Lgende"/>
        <w:jc w:val="center"/>
        <w:rPr>
          <w:noProof/>
        </w:rPr>
      </w:pPr>
      <w:r>
        <w:t xml:space="preserve">Figure </w:t>
      </w:r>
      <w:r w:rsidR="00033864">
        <w:fldChar w:fldCharType="begin"/>
      </w:r>
      <w:r w:rsidR="00033864">
        <w:instrText xml:space="preserve"> SEQ Figure \* ARABIC </w:instrText>
      </w:r>
      <w:r w:rsidR="00033864">
        <w:fldChar w:fldCharType="separate"/>
      </w:r>
      <w:r w:rsidR="00F54830">
        <w:rPr>
          <w:noProof/>
        </w:rPr>
        <w:t>31</w:t>
      </w:r>
      <w:r w:rsidR="00033864">
        <w:rPr>
          <w:noProof/>
        </w:rPr>
        <w:fldChar w:fldCharType="end"/>
      </w:r>
      <w:r>
        <w:t xml:space="preserve"> : Représentation de la polarisation du </w:t>
      </w:r>
      <w:commentRangeStart w:id="92"/>
      <w:r>
        <w:t xml:space="preserve">vecteur champ électrique </w:t>
      </w:r>
      <w:r>
        <w:rPr>
          <w:noProof/>
        </w:rPr>
        <w:t>dans les antennes antipodale et antipodale équilibrée [Ref]</w:t>
      </w:r>
      <w:commentRangeEnd w:id="92"/>
      <w:r>
        <w:rPr>
          <w:rStyle w:val="Marquedecommentaire"/>
          <w:i w:val="0"/>
          <w:iCs w:val="0"/>
          <w:color w:val="auto"/>
        </w:rPr>
        <w:commentReference w:id="92"/>
      </w:r>
    </w:p>
    <w:p w14:paraId="03833219" w14:textId="07569F22" w:rsidR="0053525B" w:rsidRDefault="0053525B" w:rsidP="000F60A8">
      <w:pPr>
        <w:jc w:val="both"/>
      </w:pPr>
      <w:r>
        <w:t>Une étude bibliographique a été réalisé en 2016 par Dixit et Kumar</w:t>
      </w:r>
      <w:r w:rsidR="007B4C17">
        <w:t xml:space="preserve"> [</w:t>
      </w:r>
      <w:commentRangeStart w:id="93"/>
      <w:r w:rsidR="007B4C17">
        <w:t>Ref</w:t>
      </w:r>
      <w:commentRangeEnd w:id="93"/>
      <w:r w:rsidR="007B4C17">
        <w:rPr>
          <w:rStyle w:val="Marquedecommentaire"/>
        </w:rPr>
        <w:commentReference w:id="93"/>
      </w:r>
      <w:r w:rsidR="007B4C17">
        <w:t>] p</w:t>
      </w:r>
      <w:r>
        <w:t>résentant les différentes techniques existantes afin d’améliorer les caractéristiques radioél</w:t>
      </w:r>
      <w:r w:rsidR="007B4C17">
        <w:t xml:space="preserve">ectriques des antennes vivaldi. </w:t>
      </w:r>
      <w:r>
        <w:t>En premier lieu, ses caractéristiques de gain, bande passante, ouverture du diagramme, lobes secondaires et rapport avant arrière dépendent principalement de la ligne microruban de couplage (dans le cas d’une antenne vivaldi alimentée par couplage), de ses dimensions ainsi que de la courbure des bras.</w:t>
      </w:r>
    </w:p>
    <w:p w14:paraId="06A3121B" w14:textId="6BA6F2A2" w:rsidR="00E720A9" w:rsidRDefault="00F332BD" w:rsidP="000F60A8">
      <w:pPr>
        <w:jc w:val="both"/>
      </w:pPr>
      <w:r>
        <w:t>Concernant la courbure des bras, nous avons précédemment vu les différentes formes de courbures basiques comme les courbures linéaires ou bien exponentielles, qui sont utilisées pour leur design simple et leur implémentation. Cependant, il existe d’autres formes de courbures possibles, comme les formes de Chebyshev, les structures en forme de feuille, fractale, suivant des lois binomiale etc.</w:t>
      </w:r>
      <w:r w:rsidR="00E720A9">
        <w:t xml:space="preserve"> De manière général, plus l’ouverture des bras de l’antenne est </w:t>
      </w:r>
      <w:r w:rsidR="00F431B4">
        <w:t>large</w:t>
      </w:r>
      <w:r w:rsidR="00E720A9">
        <w:t>, plus le diagramme va être directif, ce qui augm</w:t>
      </w:r>
      <w:r w:rsidR="007450EE">
        <w:t>ente le gain du système.</w:t>
      </w:r>
    </w:p>
    <w:p w14:paraId="39C7D92A" w14:textId="1C5A657D" w:rsidR="00F332BD" w:rsidRDefault="00F332BD" w:rsidP="000F60A8">
      <w:pPr>
        <w:pStyle w:val="Paragraphedeliste"/>
        <w:numPr>
          <w:ilvl w:val="0"/>
          <w:numId w:val="7"/>
        </w:numPr>
        <w:jc w:val="both"/>
      </w:pPr>
      <w:r>
        <w:rPr>
          <w:b/>
        </w:rPr>
        <w:t>Elliptique</w:t>
      </w:r>
      <w:r w:rsidR="00E720A9">
        <w:rPr>
          <w:b/>
        </w:rPr>
        <w:t>/exponentielle</w:t>
      </w:r>
      <w:r>
        <w:rPr>
          <w:b/>
        </w:rPr>
        <w:t> </w:t>
      </w:r>
      <w:r w:rsidRPr="00C811E6">
        <w:t>:</w:t>
      </w:r>
      <w:r>
        <w:t xml:space="preserve"> le diagramme de rayonnement peut être large ou bien </w:t>
      </w:r>
      <w:r w:rsidR="007C0B3C">
        <w:t xml:space="preserve">directif </w:t>
      </w:r>
      <w:r>
        <w:t>suivant le coefficient de courbure utilisé.</w:t>
      </w:r>
    </w:p>
    <w:p w14:paraId="42E30436" w14:textId="0671ADCC" w:rsidR="00F332BD" w:rsidRDefault="00F332BD" w:rsidP="000F60A8">
      <w:pPr>
        <w:pStyle w:val="Paragraphedeliste"/>
        <w:numPr>
          <w:ilvl w:val="0"/>
          <w:numId w:val="7"/>
        </w:numPr>
        <w:jc w:val="both"/>
      </w:pPr>
      <w:r>
        <w:rPr>
          <w:b/>
        </w:rPr>
        <w:t>Circulaire </w:t>
      </w:r>
      <w:r w:rsidRPr="00C811E6">
        <w:t>:</w:t>
      </w:r>
      <w:r>
        <w:t xml:space="preserve"> une courbure circulaire permet d’obtenir le</w:t>
      </w:r>
      <w:r w:rsidRPr="00E720A9">
        <w:t xml:space="preserve"> même diagramme de rayonnement dans les plans E et H </w:t>
      </w:r>
      <w:r>
        <w:t>et améliore le coefficient de réflexion et le matching d’</w:t>
      </w:r>
      <w:r w:rsidR="00E720A9">
        <w:t>impédance</w:t>
      </w:r>
      <w:r>
        <w:t>.</w:t>
      </w:r>
    </w:p>
    <w:p w14:paraId="1A25714C" w14:textId="706F62BF" w:rsidR="00F332BD" w:rsidRDefault="00F332BD" w:rsidP="000F60A8">
      <w:pPr>
        <w:pStyle w:val="Paragraphedeliste"/>
        <w:numPr>
          <w:ilvl w:val="0"/>
          <w:numId w:val="7"/>
        </w:numPr>
        <w:jc w:val="both"/>
      </w:pPr>
      <w:r>
        <w:rPr>
          <w:b/>
        </w:rPr>
        <w:t>Chebyshev </w:t>
      </w:r>
      <w:r w:rsidRPr="00E8544F">
        <w:t>:</w:t>
      </w:r>
      <w:r>
        <w:t xml:space="preserve"> </w:t>
      </w:r>
      <w:r w:rsidR="00F431B4">
        <w:t xml:space="preserve">cette topologie </w:t>
      </w:r>
      <w:r>
        <w:t xml:space="preserve">améliore la largeur de bande passante via </w:t>
      </w:r>
      <w:r w:rsidR="00F431B4">
        <w:t>une bonne adaptation</w:t>
      </w:r>
      <w:r>
        <w:t xml:space="preserve"> d’</w:t>
      </w:r>
      <w:r w:rsidR="00E720A9">
        <w:t>impédance</w:t>
      </w:r>
      <w:r>
        <w:t xml:space="preserve"> en bas de bande </w:t>
      </w:r>
      <w:r w:rsidR="007C0B3C">
        <w:t>et permet également d’obtenir un</w:t>
      </w:r>
      <w:r>
        <w:t xml:space="preserve"> </w:t>
      </w:r>
      <w:r w:rsidRPr="002A3E32">
        <w:t>diagramme de rayonnement stable</w:t>
      </w:r>
      <w:r>
        <w:t xml:space="preserve"> sur une large bande de fréquence.</w:t>
      </w:r>
    </w:p>
    <w:p w14:paraId="76E9B6CB" w14:textId="00C2444B" w:rsidR="00F332BD" w:rsidRDefault="00F332BD" w:rsidP="000F60A8">
      <w:pPr>
        <w:pStyle w:val="Paragraphedeliste"/>
        <w:numPr>
          <w:ilvl w:val="0"/>
          <w:numId w:val="7"/>
        </w:numPr>
        <w:jc w:val="both"/>
      </w:pPr>
      <w:r>
        <w:rPr>
          <w:b/>
        </w:rPr>
        <w:t xml:space="preserve">Structure en </w:t>
      </w:r>
      <w:r w:rsidR="00E720A9">
        <w:rPr>
          <w:b/>
        </w:rPr>
        <w:t>feuille</w:t>
      </w:r>
      <w:r>
        <w:rPr>
          <w:b/>
        </w:rPr>
        <w:t> </w:t>
      </w:r>
      <w:r w:rsidRPr="002C697E">
        <w:t>:</w:t>
      </w:r>
      <w:r>
        <w:t xml:space="preserve"> </w:t>
      </w:r>
      <w:r w:rsidR="002A3E32">
        <w:t>permet d’</w:t>
      </w:r>
      <w:r>
        <w:t>améliore</w:t>
      </w:r>
      <w:r w:rsidR="002A3E32">
        <w:t>r</w:t>
      </w:r>
      <w:r>
        <w:t xml:space="preserve"> la</w:t>
      </w:r>
      <w:r w:rsidR="002A3E32">
        <w:t xml:space="preserve"> polarisation croisée</w:t>
      </w:r>
      <w:r>
        <w:t>, mais</w:t>
      </w:r>
      <w:r w:rsidR="002A3E32">
        <w:t xml:space="preserve"> son</w:t>
      </w:r>
      <w:r>
        <w:t xml:space="preserve"> design</w:t>
      </w:r>
      <w:r w:rsidR="002A3E32">
        <w:t xml:space="preserve"> est</w:t>
      </w:r>
      <w:r>
        <w:t xml:space="preserve"> complexe. </w:t>
      </w:r>
    </w:p>
    <w:p w14:paraId="5BBABA13" w14:textId="77777777" w:rsidR="00F332BD" w:rsidRDefault="00F332BD" w:rsidP="00F54830">
      <w:pPr>
        <w:keepNext/>
        <w:jc w:val="center"/>
      </w:pPr>
      <w:r>
        <w:rPr>
          <w:noProof/>
          <w:lang w:eastAsia="fr-FR"/>
        </w:rPr>
        <w:lastRenderedPageBreak/>
        <w:drawing>
          <wp:inline distT="0" distB="0" distL="0" distR="0" wp14:anchorId="34B41EEC" wp14:editId="541835C6">
            <wp:extent cx="2732568" cy="3559280"/>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2608" cy="3572357"/>
                    </a:xfrm>
                    <a:prstGeom prst="rect">
                      <a:avLst/>
                    </a:prstGeom>
                  </pic:spPr>
                </pic:pic>
              </a:graphicData>
            </a:graphic>
          </wp:inline>
        </w:drawing>
      </w:r>
    </w:p>
    <w:p w14:paraId="03D8F177" w14:textId="3C460241" w:rsidR="00F332BD" w:rsidRDefault="00F332BD" w:rsidP="00F54830">
      <w:pPr>
        <w:pStyle w:val="Lgende"/>
        <w:jc w:val="center"/>
      </w:pPr>
      <w:r>
        <w:t xml:space="preserve">Figure </w:t>
      </w:r>
      <w:r w:rsidR="00033864">
        <w:fldChar w:fldCharType="begin"/>
      </w:r>
      <w:r w:rsidR="00033864">
        <w:instrText xml:space="preserve"> SEQ Figure \* ARABIC </w:instrText>
      </w:r>
      <w:r w:rsidR="00033864">
        <w:fldChar w:fldCharType="separate"/>
      </w:r>
      <w:r w:rsidR="00F54830">
        <w:rPr>
          <w:noProof/>
        </w:rPr>
        <w:t>32</w:t>
      </w:r>
      <w:r w:rsidR="00033864">
        <w:rPr>
          <w:noProof/>
        </w:rPr>
        <w:fldChar w:fldCharType="end"/>
      </w:r>
      <w:r>
        <w:t xml:space="preserve"> : Différents types de courbure pour </w:t>
      </w:r>
      <w:r w:rsidR="007450EE">
        <w:t xml:space="preserve">une </w:t>
      </w:r>
      <w:r>
        <w:t>antenne Vivaldi</w:t>
      </w:r>
      <w:r w:rsidR="007450EE">
        <w:t xml:space="preserve"> antipodale</w:t>
      </w:r>
      <w:r>
        <w:t xml:space="preserve"> [</w:t>
      </w:r>
      <w:commentRangeStart w:id="94"/>
      <w:r>
        <w:t>Ref</w:t>
      </w:r>
      <w:commentRangeEnd w:id="94"/>
      <w:r>
        <w:rPr>
          <w:rStyle w:val="Marquedecommentaire"/>
          <w:i w:val="0"/>
          <w:iCs w:val="0"/>
          <w:color w:val="auto"/>
        </w:rPr>
        <w:commentReference w:id="94"/>
      </w:r>
      <w:r>
        <w:t>]</w:t>
      </w:r>
    </w:p>
    <w:p w14:paraId="38AB2AF2" w14:textId="44546E16" w:rsidR="005A6752" w:rsidRDefault="00283E72" w:rsidP="000F60A8">
      <w:pPr>
        <w:jc w:val="both"/>
      </w:pPr>
      <w:r w:rsidRPr="005A6752">
        <w:rPr>
          <w:b/>
        </w:rPr>
        <w:t>Choix du substrat</w:t>
      </w:r>
      <w:r>
        <w:t> : Dans le cas d’une antenne Vivaldi antipodale, le choix du substrat est important non seulement car il va permettre de réduire la vitesse de phase des ondes entre les deux bras, augmentant ainsi la longueur électrique de l’antenne, mais peut également augmenter le niveau de polarisation croisé.</w:t>
      </w:r>
      <w:r w:rsidR="00F431B4">
        <w:t xml:space="preserve"> </w:t>
      </w:r>
      <w:r w:rsidR="005A6752">
        <w:t xml:space="preserve">En effet, </w:t>
      </w:r>
      <w:r w:rsidR="006D52F8">
        <w:t>en haute fréquence</w:t>
      </w:r>
      <w:r w:rsidR="005A6752">
        <w:t xml:space="preserve"> l’épaisseur</w:t>
      </w:r>
      <w:r w:rsidR="006D52F8">
        <w:t xml:space="preserve"> du substrat va être </w:t>
      </w:r>
      <w:r w:rsidR="005A6752">
        <w:t>électrique</w:t>
      </w:r>
      <w:r w:rsidR="006D52F8">
        <w:t>ment plus grand</w:t>
      </w:r>
      <w:r w:rsidR="005A6752">
        <w:t xml:space="preserve"> et peut engendrer des modes d’excitation non voulus altérant la phase des ondes causant des distorsions sur le diagramme de rayonnement ou encore </w:t>
      </w:r>
      <w:r w:rsidR="005A6752" w:rsidRPr="005A6752">
        <w:t xml:space="preserve">augmenter </w:t>
      </w:r>
      <w:r w:rsidR="005A6752">
        <w:t>la polarisation croisée.</w:t>
      </w:r>
    </w:p>
    <w:p w14:paraId="199B5C16" w14:textId="4411696C" w:rsidR="005A6752" w:rsidRDefault="005A6752" w:rsidP="000F60A8">
      <w:pPr>
        <w:jc w:val="both"/>
      </w:pPr>
      <w:r>
        <w:t xml:space="preserve">On préfère </w:t>
      </w:r>
      <w:r w:rsidR="006928CE">
        <w:t xml:space="preserve">donc </w:t>
      </w:r>
      <w:r>
        <w:t xml:space="preserve">utiliser des substrats fins et avec </w:t>
      </w:r>
      <w:r w:rsidR="006928CE">
        <w:t>une permittivité</w:t>
      </w:r>
      <w:r>
        <w:t xml:space="preserve"> faible. En théorie</w:t>
      </w:r>
      <w:r w:rsidR="006A313F">
        <w:t>,</w:t>
      </w:r>
      <w:r w:rsidR="006928CE">
        <w:t xml:space="preserve"> on</w:t>
      </w:r>
      <w:r>
        <w:t xml:space="preserve"> doit utiliser </w:t>
      </w:r>
      <w:r w:rsidR="006A313F">
        <w:t xml:space="preserve">une </w:t>
      </w:r>
      <w:r>
        <w:t xml:space="preserve">épaisseur </w:t>
      </w:r>
      <w:r w:rsidR="006A313F">
        <w:t xml:space="preserve">de substrat inférieure à </w:t>
      </w:r>
      <w:r w:rsidR="006928CE">
        <w:t>0.03</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t xml:space="preserve"> (</w:t>
      </w:r>
      <w:r w:rsidR="006928CE">
        <w:t xml:space="preserve">avec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6928CE">
        <w:rPr>
          <w:rFonts w:eastAsiaTheme="minorEastAsia"/>
        </w:rPr>
        <w:t xml:space="preserve"> le </w:t>
      </w:r>
      <w:r>
        <w:t xml:space="preserve">centre de la bande de fréquence) </w:t>
      </w:r>
      <w:commentRangeStart w:id="95"/>
      <w:r>
        <w:t>[</w:t>
      </w:r>
      <w:r w:rsidR="009A4CB3">
        <w:t>réf</w:t>
      </w:r>
      <w:r w:rsidR="00F431B4">
        <w:t>, ref</w:t>
      </w:r>
      <w:r>
        <w:t>]</w:t>
      </w:r>
      <w:r w:rsidR="009A4CB3">
        <w:t>.</w:t>
      </w:r>
      <w:commentRangeEnd w:id="95"/>
      <w:r w:rsidR="009A4CB3">
        <w:rPr>
          <w:rStyle w:val="Marquedecommentaire"/>
        </w:rPr>
        <w:commentReference w:id="95"/>
      </w:r>
      <w:r w:rsidR="006A313F">
        <w:t xml:space="preserve"> Le diélectrique doit également être caractérisé par une faible tangente de perte, qui provoquerait dans le cas contraire des pertes par effet joules, ainsi qu’un epsilon peu élevé. En effet, un fort epsilon stockerait une partie de l’énergie électrique, ce qui réduirait le gain de l’antenne. Cela augmenterait également la polarisation croisée, notamment en haut de bande, car </w:t>
      </w:r>
      <w:r w:rsidR="00F431B4">
        <w:t>les dimensions électriques du</w:t>
      </w:r>
      <w:r w:rsidR="006A313F">
        <w:t xml:space="preserve"> substrat</w:t>
      </w:r>
      <w:r w:rsidR="00F431B4">
        <w:t xml:space="preserve"> seront augmentées</w:t>
      </w:r>
      <w:r w:rsidR="006A313F">
        <w:t>.</w:t>
      </w:r>
    </w:p>
    <w:p w14:paraId="155231DE" w14:textId="40756C5F" w:rsidR="00283E72" w:rsidRDefault="00F2734E" w:rsidP="000F60A8">
      <w:pPr>
        <w:jc w:val="both"/>
      </w:pPr>
      <w:r>
        <w:rPr>
          <w:b/>
        </w:rPr>
        <w:t xml:space="preserve">Ajout de fentes : </w:t>
      </w:r>
      <w:r>
        <w:t xml:space="preserve">Afin de miniaturiser et d’élargie la bande passante de l’antenne, il est possible d’ajouter </w:t>
      </w:r>
      <w:r w:rsidR="00283E72">
        <w:t xml:space="preserve">des </w:t>
      </w:r>
      <w:r w:rsidRPr="00F2734E">
        <w:t>fentes</w:t>
      </w:r>
      <w:r>
        <w:t xml:space="preserve"> dans le design. </w:t>
      </w:r>
      <w:r w:rsidR="00213977">
        <w:t>Ces fentes</w:t>
      </w:r>
      <w:r w:rsidR="00283E72">
        <w:t xml:space="preserve"> permett</w:t>
      </w:r>
      <w:r w:rsidR="00213977">
        <w:t>ent également de réduire les lobes secondaires</w:t>
      </w:r>
      <w:r w:rsidR="00283E72">
        <w:t xml:space="preserve"> en plus d’augmente</w:t>
      </w:r>
      <w:r w:rsidR="00453889">
        <w:t xml:space="preserve">r le niveau </w:t>
      </w:r>
      <w:r w:rsidR="00213977">
        <w:t xml:space="preserve">de gain </w:t>
      </w:r>
      <w:r w:rsidR="00453889">
        <w:t>du lobe principal [</w:t>
      </w:r>
      <w:commentRangeStart w:id="96"/>
      <w:r w:rsidR="00453889">
        <w:t>Ref , Ref</w:t>
      </w:r>
      <w:commentRangeEnd w:id="96"/>
      <w:r w:rsidR="00453889">
        <w:rPr>
          <w:rStyle w:val="Marquedecommentaire"/>
        </w:rPr>
        <w:commentReference w:id="96"/>
      </w:r>
      <w:r w:rsidR="00C71EAE">
        <w:t>]. Lorsque ces fentes sont placées de manières répétées, à même distance des unes avec les autres sur la structure, on parle de fentes ondulées. Elles sont généralement placées sur la bordure des bras,</w:t>
      </w:r>
      <w:r w:rsidR="00283E72">
        <w:t>selon des formes sinusoïdale, rectangulaire ou triangulaire. Elles permettent d’améliorer le gain et le coefficient de réflexion de l’antenne</w:t>
      </w:r>
      <w:r w:rsidR="00C71EAE">
        <w:t xml:space="preserve"> [</w:t>
      </w:r>
      <w:commentRangeStart w:id="97"/>
      <w:r w:rsidR="00C71EAE">
        <w:t>Ref]</w:t>
      </w:r>
      <w:r w:rsidR="00283E72">
        <w:t>.</w:t>
      </w:r>
      <w:commentRangeEnd w:id="97"/>
      <w:r w:rsidR="00C71EAE">
        <w:rPr>
          <w:rStyle w:val="Marquedecommentaire"/>
        </w:rPr>
        <w:commentReference w:id="97"/>
      </w:r>
    </w:p>
    <w:p w14:paraId="76AAB021" w14:textId="77777777" w:rsidR="00C71EAE" w:rsidRDefault="00283E72" w:rsidP="00F54830">
      <w:pPr>
        <w:keepNext/>
        <w:jc w:val="center"/>
      </w:pPr>
      <w:r>
        <w:rPr>
          <w:noProof/>
          <w:lang w:eastAsia="fr-FR"/>
        </w:rPr>
        <w:lastRenderedPageBreak/>
        <w:drawing>
          <wp:inline distT="0" distB="0" distL="0" distR="0" wp14:anchorId="321BA3AC" wp14:editId="24D0434D">
            <wp:extent cx="3408071" cy="1990725"/>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20746" cy="1998129"/>
                    </a:xfrm>
                    <a:prstGeom prst="rect">
                      <a:avLst/>
                    </a:prstGeom>
                  </pic:spPr>
                </pic:pic>
              </a:graphicData>
            </a:graphic>
          </wp:inline>
        </w:drawing>
      </w:r>
    </w:p>
    <w:p w14:paraId="49BA1DBE" w14:textId="58EBFC24" w:rsidR="00283E72" w:rsidRDefault="00C71EAE" w:rsidP="00F54830">
      <w:pPr>
        <w:pStyle w:val="Lgende"/>
        <w:jc w:val="center"/>
      </w:pPr>
      <w:r>
        <w:t xml:space="preserve">Figure </w:t>
      </w:r>
      <w:r>
        <w:fldChar w:fldCharType="begin"/>
      </w:r>
      <w:r>
        <w:instrText xml:space="preserve"> SEQ Figure \* ARABIC </w:instrText>
      </w:r>
      <w:r>
        <w:fldChar w:fldCharType="separate"/>
      </w:r>
      <w:r w:rsidR="00F54830">
        <w:rPr>
          <w:noProof/>
        </w:rPr>
        <w:t>33</w:t>
      </w:r>
      <w:r>
        <w:fldChar w:fldCharType="end"/>
      </w:r>
      <w:r>
        <w:t xml:space="preserve"> : Utilisation de fentes ondulées sur des vivaldi antipodales, </w:t>
      </w:r>
      <w:commentRangeStart w:id="98"/>
      <w:r>
        <w:t>[Ref]</w:t>
      </w:r>
      <w:commentRangeEnd w:id="98"/>
      <w:r>
        <w:rPr>
          <w:rStyle w:val="Marquedecommentaire"/>
          <w:i w:val="0"/>
          <w:iCs w:val="0"/>
          <w:color w:val="auto"/>
        </w:rPr>
        <w:commentReference w:id="98"/>
      </w:r>
    </w:p>
    <w:p w14:paraId="0413E502" w14:textId="7D35F1E0" w:rsidR="00283E72" w:rsidRDefault="00283E72" w:rsidP="000F60A8">
      <w:pPr>
        <w:jc w:val="both"/>
      </w:pPr>
      <w:r w:rsidRPr="00C71EAE">
        <w:rPr>
          <w:b/>
        </w:rPr>
        <w:t>A</w:t>
      </w:r>
      <w:r w:rsidR="00C71EAE">
        <w:rPr>
          <w:b/>
        </w:rPr>
        <w:t>jout</w:t>
      </w:r>
      <w:r w:rsidRPr="00C71EAE">
        <w:rPr>
          <w:b/>
        </w:rPr>
        <w:t xml:space="preserve"> </w:t>
      </w:r>
      <w:r w:rsidR="00C71EAE" w:rsidRPr="00C71EAE">
        <w:rPr>
          <w:b/>
        </w:rPr>
        <w:t>d’</w:t>
      </w:r>
      <w:r w:rsidRPr="00C71EAE">
        <w:rPr>
          <w:b/>
        </w:rPr>
        <w:t>une lentille diélectrique</w:t>
      </w:r>
      <w:r w:rsidR="00C71EAE">
        <w:t xml:space="preserve"> : </w:t>
      </w:r>
      <w:r>
        <w:t>afin d’augmenter la directivité et donc le gain de l’antenne</w:t>
      </w:r>
      <w:r w:rsidR="00C71EAE">
        <w:t>, on peut ajouter une lentille diélectrique selon l’ouverture de l’antenne</w:t>
      </w:r>
      <w:r>
        <w:t>. Les formes de la lentille peuvent être elliptiques, circulaires, trapézoïdales ou encore rectangulaires</w:t>
      </w:r>
      <w:r w:rsidR="00C71EAE">
        <w:t>.</w:t>
      </w:r>
      <w:r>
        <w:t xml:space="preserve"> </w:t>
      </w:r>
      <w:r w:rsidR="00C71EAE">
        <w:t xml:space="preserve">Il est également possible de superposer </w:t>
      </w:r>
      <w:r>
        <w:t xml:space="preserve">plusieurs couches </w:t>
      </w:r>
      <w:r w:rsidR="00C71EAE">
        <w:t>de diélectriques (figure d), ce qui réduit le dépointage en haut de bande et</w:t>
      </w:r>
      <w:r>
        <w:t xml:space="preserve"> améliore gain et </w:t>
      </w:r>
      <w:r w:rsidR="00C71EAE">
        <w:t>le rapport avant arrière</w:t>
      </w:r>
      <w:r>
        <w:t>.</w:t>
      </w:r>
    </w:p>
    <w:p w14:paraId="60131DC6" w14:textId="77777777" w:rsidR="00C71EAE" w:rsidRDefault="00283E72" w:rsidP="00F54830">
      <w:pPr>
        <w:keepNext/>
        <w:jc w:val="center"/>
      </w:pPr>
      <w:r>
        <w:rPr>
          <w:noProof/>
          <w:lang w:eastAsia="fr-FR"/>
        </w:rPr>
        <w:drawing>
          <wp:inline distT="0" distB="0" distL="0" distR="0" wp14:anchorId="0F2505C0" wp14:editId="6EC1E5FF">
            <wp:extent cx="2548255" cy="3495675"/>
            <wp:effectExtent l="0" t="0" r="444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4321"/>
                    <a:stretch/>
                  </pic:blipFill>
                  <pic:spPr bwMode="auto">
                    <a:xfrm>
                      <a:off x="0" y="0"/>
                      <a:ext cx="2563661" cy="3516809"/>
                    </a:xfrm>
                    <a:prstGeom prst="rect">
                      <a:avLst/>
                    </a:prstGeom>
                    <a:ln>
                      <a:noFill/>
                    </a:ln>
                    <a:extLst>
                      <a:ext uri="{53640926-AAD7-44D8-BBD7-CCE9431645EC}">
                        <a14:shadowObscured xmlns:a14="http://schemas.microsoft.com/office/drawing/2010/main"/>
                      </a:ext>
                    </a:extLst>
                  </pic:spPr>
                </pic:pic>
              </a:graphicData>
            </a:graphic>
          </wp:inline>
        </w:drawing>
      </w:r>
    </w:p>
    <w:p w14:paraId="0A452F2F" w14:textId="3D256DAF" w:rsidR="00283E72" w:rsidRDefault="00C71EAE" w:rsidP="00F54830">
      <w:pPr>
        <w:pStyle w:val="Lgende"/>
        <w:jc w:val="center"/>
      </w:pPr>
      <w:r>
        <w:t xml:space="preserve">Figure </w:t>
      </w:r>
      <w:r>
        <w:fldChar w:fldCharType="begin"/>
      </w:r>
      <w:r>
        <w:instrText xml:space="preserve"> SEQ Figure \* ARABIC </w:instrText>
      </w:r>
      <w:r>
        <w:fldChar w:fldCharType="separate"/>
      </w:r>
      <w:r w:rsidR="00F54830">
        <w:rPr>
          <w:noProof/>
        </w:rPr>
        <w:t>34</w:t>
      </w:r>
      <w:r>
        <w:fldChar w:fldCharType="end"/>
      </w:r>
      <w:r>
        <w:t xml:space="preserve"> : Utilisation de lentilles diélectriques </w:t>
      </w:r>
      <w:r w:rsidR="00F4784F">
        <w:t xml:space="preserve">de différentes formes </w:t>
      </w:r>
      <w:r>
        <w:t xml:space="preserve">selon l'ouverture de l'antenne, </w:t>
      </w:r>
      <w:commentRangeStart w:id="99"/>
      <w:r>
        <w:t>[Ref</w:t>
      </w:r>
      <w:commentRangeEnd w:id="99"/>
      <w:r>
        <w:rPr>
          <w:rStyle w:val="Marquedecommentaire"/>
          <w:i w:val="0"/>
          <w:iCs w:val="0"/>
          <w:color w:val="auto"/>
        </w:rPr>
        <w:commentReference w:id="99"/>
      </w:r>
      <w:r>
        <w:t>]</w:t>
      </w:r>
    </w:p>
    <w:p w14:paraId="13DA67A8" w14:textId="10184AFF" w:rsidR="00283E72" w:rsidRDefault="00496093" w:rsidP="000F60A8">
      <w:pPr>
        <w:jc w:val="both"/>
      </w:pPr>
      <w:r w:rsidRPr="00496093">
        <w:rPr>
          <w:b/>
        </w:rPr>
        <w:t>Ajout</w:t>
      </w:r>
      <w:r w:rsidR="00283E72" w:rsidRPr="00496093">
        <w:rPr>
          <w:b/>
        </w:rPr>
        <w:t xml:space="preserve"> </w:t>
      </w:r>
      <w:r w:rsidRPr="00496093">
        <w:rPr>
          <w:b/>
        </w:rPr>
        <w:t>d’</w:t>
      </w:r>
      <w:r w:rsidR="00283E72" w:rsidRPr="00496093">
        <w:rPr>
          <w:b/>
        </w:rPr>
        <w:t>un</w:t>
      </w:r>
      <w:r w:rsidR="00283E72">
        <w:t xml:space="preserve"> </w:t>
      </w:r>
      <w:r w:rsidR="00283E72" w:rsidRPr="00496093">
        <w:rPr>
          <w:b/>
        </w:rPr>
        <w:t>patch parasite</w:t>
      </w:r>
      <w:r>
        <w:t xml:space="preserve"> : </w:t>
      </w:r>
      <w:r w:rsidR="00C82E6F">
        <w:t>on peut ajouter un patch parasite le long de l’ouverture de l’antenne, qui va alors jouer le rôle d’un directeur pour permettre de</w:t>
      </w:r>
      <w:r w:rsidR="00283E72">
        <w:t xml:space="preserve"> focaliser le rayonnement du lobe principal, permettant d’augmenter la directivité et donc le gain</w:t>
      </w:r>
      <w:r w:rsidR="00C82E6F">
        <w:t xml:space="preserve">. </w:t>
      </w:r>
      <w:r w:rsidR="00283E72">
        <w:t xml:space="preserve">La forme du patch peut être elliptique, en diamant, circulaire etc. On peut </w:t>
      </w:r>
      <w:r w:rsidR="00C82E6F">
        <w:t xml:space="preserve">également </w:t>
      </w:r>
      <w:r w:rsidR="00283E72">
        <w:t>combiner le fait d’utiliser un patch parasitique et une lentille diélectrique en même t</w:t>
      </w:r>
      <w:r>
        <w:t xml:space="preserve">emps afin d’avoir un fort gain. </w:t>
      </w:r>
      <w:r w:rsidR="00283E72">
        <w:t>Il est possible d’utiliser des patch</w:t>
      </w:r>
      <w:r w:rsidR="00C82E6F">
        <w:t xml:space="preserve"> allongés</w:t>
      </w:r>
      <w:r w:rsidR="00283E72">
        <w:t xml:space="preserve"> avec des </w:t>
      </w:r>
      <w:r w:rsidR="00C82E6F">
        <w:t>fentes ondulées</w:t>
      </w:r>
      <w:r w:rsidR="00283E72">
        <w:t xml:space="preserve"> pour contrôler le diagramme de rayonnement. </w:t>
      </w:r>
      <w:r w:rsidR="00C82E6F">
        <w:t xml:space="preserve">De manière </w:t>
      </w:r>
      <w:r w:rsidR="00F54830">
        <w:t>générale</w:t>
      </w:r>
      <w:r w:rsidR="00C82E6F">
        <w:t>, plus les dimensions de ce patch sont grandes et plus le gain est amélioré, mais cela augmente naturellement les dimensions de l’antenne.</w:t>
      </w:r>
    </w:p>
    <w:p w14:paraId="0CFD3645" w14:textId="77777777" w:rsidR="00F4784F" w:rsidRDefault="00283E72" w:rsidP="00F54830">
      <w:pPr>
        <w:keepNext/>
        <w:jc w:val="center"/>
      </w:pPr>
      <w:r>
        <w:rPr>
          <w:noProof/>
          <w:lang w:eastAsia="fr-FR"/>
        </w:rPr>
        <w:lastRenderedPageBreak/>
        <w:drawing>
          <wp:inline distT="0" distB="0" distL="0" distR="0" wp14:anchorId="6DD8384C" wp14:editId="51EB9914">
            <wp:extent cx="4150995" cy="1628775"/>
            <wp:effectExtent l="0" t="0" r="190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7058"/>
                    <a:stretch/>
                  </pic:blipFill>
                  <pic:spPr bwMode="auto">
                    <a:xfrm>
                      <a:off x="0" y="0"/>
                      <a:ext cx="4178758" cy="1639669"/>
                    </a:xfrm>
                    <a:prstGeom prst="rect">
                      <a:avLst/>
                    </a:prstGeom>
                    <a:ln>
                      <a:noFill/>
                    </a:ln>
                    <a:extLst>
                      <a:ext uri="{53640926-AAD7-44D8-BBD7-CCE9431645EC}">
                        <a14:shadowObscured xmlns:a14="http://schemas.microsoft.com/office/drawing/2010/main"/>
                      </a:ext>
                    </a:extLst>
                  </pic:spPr>
                </pic:pic>
              </a:graphicData>
            </a:graphic>
          </wp:inline>
        </w:drawing>
      </w:r>
    </w:p>
    <w:p w14:paraId="4726AF30" w14:textId="443F7D2B" w:rsidR="00283E72" w:rsidRDefault="00F4784F" w:rsidP="00F54830">
      <w:pPr>
        <w:pStyle w:val="Lgende"/>
        <w:jc w:val="center"/>
      </w:pPr>
      <w:r>
        <w:t xml:space="preserve">Figure </w:t>
      </w:r>
      <w:r>
        <w:fldChar w:fldCharType="begin"/>
      </w:r>
      <w:r>
        <w:instrText xml:space="preserve"> SEQ Figure \* ARABIC </w:instrText>
      </w:r>
      <w:r>
        <w:fldChar w:fldCharType="separate"/>
      </w:r>
      <w:r w:rsidR="00F54830">
        <w:rPr>
          <w:noProof/>
        </w:rPr>
        <w:t>35</w:t>
      </w:r>
      <w:r>
        <w:fldChar w:fldCharType="end"/>
      </w:r>
      <w:r>
        <w:t xml:space="preserve"> : Ajout d'élement parasites de différentes formes selon l'ouverture de l'antenne, [</w:t>
      </w:r>
      <w:commentRangeStart w:id="100"/>
      <w:r>
        <w:t>Ref]</w:t>
      </w:r>
      <w:commentRangeEnd w:id="100"/>
      <w:r>
        <w:rPr>
          <w:rStyle w:val="Marquedecommentaire"/>
          <w:i w:val="0"/>
          <w:iCs w:val="0"/>
          <w:color w:val="auto"/>
        </w:rPr>
        <w:commentReference w:id="100"/>
      </w:r>
    </w:p>
    <w:p w14:paraId="0F77D6E8" w14:textId="77777777" w:rsidR="00991D62" w:rsidRDefault="00991D62" w:rsidP="000F60A8">
      <w:pPr>
        <w:pStyle w:val="Titre1"/>
        <w:jc w:val="both"/>
      </w:pPr>
      <w:bookmarkStart w:id="101" w:name="_Toc104886681"/>
      <w:r>
        <w:t>Motivations de la thèse</w:t>
      </w:r>
      <w:bookmarkEnd w:id="101"/>
    </w:p>
    <w:p w14:paraId="037C41C0" w14:textId="77777777" w:rsidR="00991D62" w:rsidRDefault="00991D62" w:rsidP="000F60A8">
      <w:pPr>
        <w:jc w:val="both"/>
      </w:pPr>
      <w:r>
        <w:t>Cette thèse a pour objectif d’étudier et de concevoir un système goniométrique complet, comprenant donc une antenne et un algorithme de goniométrie. L’antenne doit répondre à des caractéristiques de rayonnement définis dans le cahier des charges (gain, bande passante, polarisation, diagramme de rayonnement…) et doit également être compacte. Un algorithme devra ensuite être développé afin d’obtenir une réponse précise sur une large bande de fréquence. Enfin, ce système sera disposé sur le mât d’un navire militaire, et devra être protégé des intempéries et de l’environnement marin via un radôme, qui sera également conçu lors de la thèse.</w:t>
      </w:r>
    </w:p>
    <w:p w14:paraId="1C6FEB76" w14:textId="1D283C9E" w:rsidR="002D5470" w:rsidRDefault="00991D62" w:rsidP="000F60A8">
      <w:pPr>
        <w:jc w:val="both"/>
      </w:pPr>
      <w:r>
        <w:t>L’innovation apportée par la thèse concernera principalement l’aspect antennaire, en développant une solution compacte, large bande et multipolarisation.</w:t>
      </w:r>
      <w:bookmarkStart w:id="102" w:name="_GoBack"/>
      <w:bookmarkEnd w:id="102"/>
      <w:r w:rsidR="00B109D6">
        <w:br w:type="page"/>
      </w:r>
    </w:p>
    <w:bookmarkStart w:id="103" w:name="_Toc104886682" w:displacedByCustomXml="next"/>
    <w:sdt>
      <w:sdtPr>
        <w:rPr>
          <w:rFonts w:asciiTheme="minorHAnsi" w:eastAsiaTheme="minorHAnsi" w:hAnsiTheme="minorHAnsi" w:cstheme="minorBidi"/>
          <w:sz w:val="22"/>
          <w:szCs w:val="22"/>
        </w:rPr>
        <w:id w:val="1287089287"/>
        <w:docPartObj>
          <w:docPartGallery w:val="Bibliographies"/>
          <w:docPartUnique/>
        </w:docPartObj>
      </w:sdtPr>
      <w:sdtEndPr>
        <w:rPr>
          <w:rFonts w:eastAsia="Batang"/>
        </w:rPr>
      </w:sdtEndPr>
      <w:sdtContent>
        <w:p w14:paraId="436231A4" w14:textId="5B0DF6B2" w:rsidR="002D5470" w:rsidRPr="00B109D6" w:rsidRDefault="002D5470" w:rsidP="000F60A8">
          <w:pPr>
            <w:pStyle w:val="Titre1"/>
            <w:numPr>
              <w:ilvl w:val="0"/>
              <w:numId w:val="0"/>
            </w:numPr>
            <w:jc w:val="both"/>
            <w:rPr>
              <w:rStyle w:val="TitreCar"/>
              <w:rFonts w:asciiTheme="minorHAnsi" w:eastAsiaTheme="minorHAnsi" w:hAnsiTheme="minorHAnsi" w:cstheme="minorBidi"/>
              <w:spacing w:val="0"/>
              <w:kern w:val="0"/>
              <w:sz w:val="22"/>
              <w:szCs w:val="22"/>
            </w:rPr>
          </w:pPr>
          <w:r w:rsidRPr="00823295">
            <w:rPr>
              <w:rStyle w:val="TitreCar"/>
            </w:rPr>
            <w:t>Références</w:t>
          </w:r>
          <w:bookmarkEnd w:id="103"/>
        </w:p>
        <w:sdt>
          <w:sdtPr>
            <w:id w:val="-573587230"/>
            <w:bibliography/>
          </w:sdtPr>
          <w:sdtContent>
            <w:p w14:paraId="29174835" w14:textId="5349B8D1" w:rsidR="002D5470" w:rsidRDefault="002D5470" w:rsidP="000F60A8">
              <w:pPr>
                <w:jc w:val="both"/>
              </w:pPr>
              <w:r>
                <w:fldChar w:fldCharType="begin"/>
              </w:r>
              <w:r>
                <w:instrText>BIBLIOGRAPHY</w:instrText>
              </w:r>
              <w:r>
                <w:fldChar w:fldCharType="separate"/>
              </w:r>
              <w:r w:rsidR="00E31E45">
                <w:rPr>
                  <w:b/>
                  <w:bCs/>
                  <w:noProof/>
                </w:rPr>
                <w:t>Aucune source spécifiée dans le document actif.</w:t>
              </w:r>
              <w:r>
                <w:rPr>
                  <w:b/>
                  <w:bCs/>
                </w:rPr>
                <w:fldChar w:fldCharType="end"/>
              </w:r>
            </w:p>
          </w:sdtContent>
        </w:sdt>
      </w:sdtContent>
    </w:sdt>
    <w:p w14:paraId="0D9673E2" w14:textId="3F93E436" w:rsidR="002D5470" w:rsidRPr="00E91A8C" w:rsidRDefault="002D5470" w:rsidP="000F60A8">
      <w:pPr>
        <w:jc w:val="both"/>
      </w:pPr>
    </w:p>
    <w:sectPr w:rsidR="002D5470" w:rsidRPr="00E91A8C">
      <w:footerReference w:type="default" r:id="rId4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Julien HAREL" w:date="2022-05-27T09:26:00Z" w:initials="JH">
    <w:p w14:paraId="50F85B31" w14:textId="325680B6" w:rsidR="00F424DA" w:rsidRDefault="00F424DA">
      <w:pPr>
        <w:pStyle w:val="Commentaire"/>
      </w:pPr>
      <w:r>
        <w:rPr>
          <w:rStyle w:val="Marquedecommentaire"/>
        </w:rPr>
        <w:annotationRef/>
      </w:r>
      <w:r>
        <w:t>Décrire les bandes de fréquences &amp; les applications dans les bandes qui nous intéresses (militaire)</w:t>
      </w:r>
    </w:p>
  </w:comment>
  <w:comment w:id="5" w:author="Julien HAREL" w:date="2022-05-31T14:06:00Z" w:initials="JH">
    <w:p w14:paraId="2E144F09" w14:textId="77777777" w:rsidR="00180F84" w:rsidRDefault="00180F84" w:rsidP="00180F84">
      <w:pPr>
        <w:pStyle w:val="Commentaire"/>
      </w:pPr>
      <w:r>
        <w:rPr>
          <w:rStyle w:val="Marquedecommentaire"/>
        </w:rPr>
        <w:annotationRef/>
      </w:r>
      <w:r>
        <w:rPr>
          <w:rStyle w:val="Marquedecommentaire"/>
        </w:rPr>
        <w:annotationRef/>
      </w:r>
      <w:r>
        <w:rPr>
          <w:rFonts w:ascii="Arial" w:hAnsi="Arial" w:cs="Arial"/>
          <w:color w:val="1C1D1E"/>
          <w:sz w:val="21"/>
          <w:szCs w:val="21"/>
          <w:shd w:val="clear" w:color="auto" w:fill="FFFFFF"/>
        </w:rPr>
        <w:t>Iqbal, M.F., Khalid, Z., Zahid, M. and Abdullah, A. (2020), Accuracy improvement in amplitude comparison-based passive direction finding systems by adaptive squint selection. IET Radar Sonar Navig., 14: 662-668. </w:t>
      </w:r>
      <w:hyperlink r:id="rId1" w:history="1">
        <w:r>
          <w:rPr>
            <w:rStyle w:val="Lienhypertexte"/>
            <w:rFonts w:ascii="Arial" w:hAnsi="Arial" w:cs="Arial"/>
            <w:color w:val="4F1B59"/>
            <w:sz w:val="21"/>
            <w:szCs w:val="21"/>
            <w:shd w:val="clear" w:color="auto" w:fill="FFFFFF"/>
          </w:rPr>
          <w:t>https://doi.org/10.1049/iet-rsn.2019.0465</w:t>
        </w:r>
      </w:hyperlink>
    </w:p>
    <w:p w14:paraId="12CB2117" w14:textId="15C1277B" w:rsidR="00180F84" w:rsidRDefault="00180F84">
      <w:pPr>
        <w:pStyle w:val="Commentaire"/>
      </w:pPr>
    </w:p>
  </w:comment>
  <w:comment w:id="7" w:author="Julien HAREL" w:date="2022-05-17T17:05:00Z" w:initials="JH">
    <w:p w14:paraId="6B6B3F54" w14:textId="77777777" w:rsidR="00F424DA" w:rsidRDefault="00F424DA" w:rsidP="00A70CA8">
      <w:pPr>
        <w:pStyle w:val="Commentaire"/>
      </w:pPr>
      <w:r>
        <w:rPr>
          <w:rStyle w:val="Marquedecommentaire"/>
        </w:rPr>
        <w:annotationRef/>
      </w:r>
      <w:r>
        <w:t>Illustration à refaire</w:t>
      </w:r>
    </w:p>
  </w:comment>
  <w:comment w:id="10" w:author="Julien HAREL" w:date="2022-05-31T15:27:00Z" w:initials="JH">
    <w:p w14:paraId="528AD54F" w14:textId="58DD1163" w:rsidR="00016E55" w:rsidRPr="00016E55" w:rsidRDefault="00B3553B" w:rsidP="00016E55">
      <w:pPr>
        <w:rPr>
          <w:rFonts w:ascii="Times New Roman" w:eastAsia="Times New Roman" w:hAnsi="Times New Roman" w:cs="Times New Roman"/>
          <w:sz w:val="24"/>
          <w:szCs w:val="24"/>
          <w:lang w:eastAsia="fr-FR"/>
        </w:rPr>
      </w:pPr>
      <w:r>
        <w:rPr>
          <w:rStyle w:val="Marquedecommentaire"/>
        </w:rPr>
        <w:annotationRef/>
      </w:r>
      <w:r w:rsidR="00016E55" w:rsidRPr="00016E55">
        <w:rPr>
          <w:rFonts w:ascii="Times New Roman" w:eastAsia="Times New Roman" w:hAnsi="Times New Roman" w:cs="Times New Roman"/>
          <w:sz w:val="24"/>
          <w:szCs w:val="24"/>
          <w:lang w:eastAsia="fr-FR"/>
        </w:rPr>
        <w:t>J. Duplouy, « Wideband Reconfigurable Vector Antenna for 3-D Direction Finding Application », p. 245.</w:t>
      </w:r>
    </w:p>
    <w:p w14:paraId="24E8CE62" w14:textId="17EC5CF8" w:rsidR="00B3553B" w:rsidRDefault="00B3553B">
      <w:pPr>
        <w:pStyle w:val="Commentaire"/>
      </w:pPr>
    </w:p>
  </w:comment>
  <w:comment w:id="11" w:author="Julien HAREL" w:date="2022-05-31T15:35:00Z" w:initials="JH">
    <w:p w14:paraId="79023225" w14:textId="76232D14" w:rsidR="00016E55" w:rsidRPr="00016E55" w:rsidRDefault="00016E55" w:rsidP="00016E55">
      <w:pPr>
        <w:jc w:val="right"/>
        <w:rPr>
          <w:rFonts w:ascii="Times New Roman" w:eastAsia="Times New Roman" w:hAnsi="Times New Roman" w:cs="Times New Roman"/>
          <w:sz w:val="24"/>
          <w:szCs w:val="24"/>
          <w:lang w:eastAsia="fr-FR"/>
        </w:rPr>
      </w:pPr>
      <w:r>
        <w:rPr>
          <w:rStyle w:val="Marquedecommentaire"/>
        </w:rPr>
        <w:annotationRef/>
      </w:r>
      <w:r>
        <w:rPr>
          <w:rStyle w:val="Marquedecommentaire"/>
        </w:rPr>
        <w:annotationRef/>
      </w:r>
      <w:r>
        <w:rPr>
          <w:rFonts w:ascii="Times New Roman" w:eastAsia="Times New Roman" w:hAnsi="Times New Roman" w:cs="Times New Roman"/>
          <w:sz w:val="24"/>
          <w:szCs w:val="24"/>
          <w:lang w:eastAsia="fr-FR"/>
        </w:rPr>
        <w:t>C.Brinegar, « Passive direction finding : Combining amplitude and phase based methods, » in National Aerospace and Electronics Conference, Proceedings of the IEEE (NAECON), pp.78-84, 2000.</w:t>
      </w:r>
    </w:p>
  </w:comment>
  <w:comment w:id="12" w:author="Julien HAREL" w:date="2022-05-31T15:36:00Z" w:initials="JH">
    <w:p w14:paraId="51A01F62" w14:textId="71AC2B3B" w:rsidR="00016E55" w:rsidRDefault="00016E55">
      <w:pPr>
        <w:pStyle w:val="Commentaire"/>
      </w:pPr>
      <w:r>
        <w:rPr>
          <w:rStyle w:val="Marquedecommentaire"/>
        </w:rPr>
        <w:annotationRef/>
      </w:r>
      <w:r>
        <w:t>R. G. Wiley, ELINT : The Interception and Analysis of Radar Signals. Artech House Radar Library, Artech House, Inc., 2006.</w:t>
      </w:r>
    </w:p>
  </w:comment>
  <w:comment w:id="13" w:author="Julien HAREL" w:date="2022-05-31T15:39:00Z" w:initials="JH">
    <w:p w14:paraId="06F9359F" w14:textId="6CE28825" w:rsidR="00016E55" w:rsidRDefault="00016E55">
      <w:pPr>
        <w:pStyle w:val="Commentaire"/>
      </w:pPr>
      <w:r>
        <w:rPr>
          <w:rStyle w:val="Marquedecommentaire"/>
        </w:rPr>
        <w:annotationRef/>
      </w:r>
      <w:r>
        <w:t>S. Chandran, Advances in direction-of-arrival estimation. Artech House Radar Library, Artech House, Inc., 2006.</w:t>
      </w:r>
    </w:p>
    <w:p w14:paraId="498DD2C0" w14:textId="77777777" w:rsidR="00016E55" w:rsidRDefault="00016E55">
      <w:pPr>
        <w:pStyle w:val="Commentaire"/>
      </w:pPr>
    </w:p>
    <w:p w14:paraId="60DAEB63" w14:textId="6365843A" w:rsidR="00016E55" w:rsidRDefault="00016E55">
      <w:pPr>
        <w:pStyle w:val="Commentaire"/>
      </w:pPr>
      <w:r>
        <w:t>Y.-S. Yoon, Direction-of-arrival Estimation of wideband sources using sensor arrays. PhD thesis, School of Electrical and Computer Engineering, Georgia Institute of Technology, 2004.</w:t>
      </w:r>
    </w:p>
  </w:comment>
  <w:comment w:id="15" w:author="Julien HAREL" w:date="2022-05-31T15:45:00Z" w:initials="JH">
    <w:p w14:paraId="4D3370B5" w14:textId="119D5C45" w:rsidR="00F50EBB" w:rsidRDefault="00F50EBB">
      <w:pPr>
        <w:pStyle w:val="Commentaire"/>
      </w:pPr>
      <w:r>
        <w:rPr>
          <w:rStyle w:val="Marquedecommentaire"/>
        </w:rPr>
        <w:annotationRef/>
      </w:r>
      <w:r>
        <w:t>brevet « Hybrid Amplitude/phase comparison direction finding system »</w:t>
      </w:r>
    </w:p>
    <w:p w14:paraId="3A9CA7BB" w14:textId="77777777" w:rsidR="00F50EBB" w:rsidRDefault="00F50EBB">
      <w:pPr>
        <w:pStyle w:val="Commentaire"/>
      </w:pPr>
    </w:p>
    <w:p w14:paraId="26DB8A66" w14:textId="4F59403F" w:rsidR="00F50EBB" w:rsidRDefault="00F50EBB">
      <w:pPr>
        <w:pStyle w:val="Commentaire"/>
      </w:pPr>
      <w:r>
        <w:rPr>
          <w:rFonts w:ascii="Times New Roman" w:eastAsia="Times New Roman" w:hAnsi="Times New Roman" w:cs="Times New Roman"/>
          <w:sz w:val="24"/>
          <w:szCs w:val="24"/>
          <w:lang w:eastAsia="fr-FR"/>
        </w:rPr>
        <w:t>C.Brinegar, « Passive direction finding : Combining amplitude and phase based methods, » in National Aerospace and Electronics Conference, Proceedings of the IEEE (NAECON), pp.78-84, 2000.</w:t>
      </w:r>
    </w:p>
  </w:comment>
  <w:comment w:id="16" w:author="Julien HAREL" w:date="2022-05-27T17:18:00Z" w:initials="JH">
    <w:p w14:paraId="10E8F453" w14:textId="3F1987C7" w:rsidR="00F50EBB" w:rsidRDefault="001E0FDE" w:rsidP="001E0FDE">
      <w:pPr>
        <w:pStyle w:val="Commentaire"/>
      </w:pPr>
      <w:r>
        <w:rPr>
          <w:rStyle w:val="Marquedecommentaire"/>
        </w:rPr>
        <w:annotationRef/>
      </w:r>
      <w:r>
        <w:t>J.S Lim, C.G Jung, G.S Chae « A design of precision RF direction finding device using circular interferometer »</w:t>
      </w:r>
    </w:p>
    <w:p w14:paraId="5A399DF5" w14:textId="77777777" w:rsidR="00F50EBB" w:rsidRDefault="00F50EBB" w:rsidP="001E0FDE">
      <w:pPr>
        <w:pStyle w:val="Commentaire"/>
      </w:pPr>
    </w:p>
    <w:p w14:paraId="517AB4CF" w14:textId="6B774908" w:rsidR="00F50EBB" w:rsidRDefault="00F50EBB" w:rsidP="001E0FDE">
      <w:pPr>
        <w:pStyle w:val="Commentaire"/>
      </w:pPr>
      <w:r>
        <w:t>Levée d’ambiguité et précision de 0.65° RMS entre 0.5 et 2 GHz</w:t>
      </w:r>
    </w:p>
  </w:comment>
  <w:comment w:id="17" w:author="Julien HAREL" w:date="2022-05-31T16:01:00Z" w:initials="JH">
    <w:p w14:paraId="235C075C" w14:textId="52E74E98" w:rsidR="00AD6A09" w:rsidRDefault="00AD6A09">
      <w:pPr>
        <w:pStyle w:val="Commentaire"/>
      </w:pPr>
      <w:r>
        <w:rPr>
          <w:rStyle w:val="Marquedecommentaire"/>
        </w:rPr>
        <w:annotationRef/>
      </w:r>
      <w:r>
        <w:t>brevet « Hybrid Amplitude/phase comparison direction finding system »</w:t>
      </w:r>
    </w:p>
  </w:comment>
  <w:comment w:id="19" w:author="Julien HAREL" w:date="2022-05-24T15:25:00Z" w:initials="JH">
    <w:p w14:paraId="790C77BF" w14:textId="019A7188" w:rsidR="00F424DA" w:rsidRDefault="00F424DA">
      <w:pPr>
        <w:pStyle w:val="Commentaire"/>
      </w:pPr>
      <w:r>
        <w:rPr>
          <w:rStyle w:val="Marquedecommentaire"/>
        </w:rPr>
        <w:annotationRef/>
      </w:r>
      <w:r>
        <w:t>J. Capon, “High-resolution frequency-wavenumber spectrum analysis,” Proceedings of the IEEE, vol. 57, no. 8, pp. 1408–1418, Aug 1969.</w:t>
      </w:r>
    </w:p>
  </w:comment>
  <w:comment w:id="20" w:author="Julien HAREL" w:date="2022-05-24T14:08:00Z" w:initials="JH">
    <w:p w14:paraId="3DD4724D" w14:textId="6E330D12" w:rsidR="00F424DA" w:rsidRDefault="00F424DA">
      <w:pPr>
        <w:pStyle w:val="Commentaire"/>
      </w:pPr>
      <w:r>
        <w:rPr>
          <w:rStyle w:val="Marquedecommentaire"/>
        </w:rPr>
        <w:annotationRef/>
      </w:r>
      <w:r>
        <w:t>A. Paulraj, R. Roy, and T. Kailath, « A subspace rotation approach to signal parameter estimation, » Proceedings of the IEEE, vol. 74, pp. 1044-1046, July 1986.</w:t>
      </w:r>
    </w:p>
  </w:comment>
  <w:comment w:id="21" w:author="Julien HAREL" w:date="2022-05-24T14:07:00Z" w:initials="JH">
    <w:p w14:paraId="05E560EA" w14:textId="614A876E" w:rsidR="00F424DA" w:rsidRDefault="00F424DA">
      <w:pPr>
        <w:pStyle w:val="Commentaire"/>
      </w:pPr>
      <w:r>
        <w:rPr>
          <w:rStyle w:val="Marquedecommentaire"/>
        </w:rPr>
        <w:annotationRef/>
      </w:r>
      <w:r>
        <w:t>R.O.Schmidt, « Multiple emitter location and signal parameter estimation, » Antennas and propagation, IEEE Transactions on, vol.34, pp. 276-280, March 1986</w:t>
      </w:r>
    </w:p>
  </w:comment>
  <w:comment w:id="22" w:author="Julien HAREL" w:date="2022-05-24T11:25:00Z" w:initials="JH">
    <w:p w14:paraId="751C76B6" w14:textId="044F9792" w:rsidR="00F424DA" w:rsidRPr="00D56AC2" w:rsidRDefault="00F424DA" w:rsidP="00D56AC2">
      <w:pPr>
        <w:shd w:val="clear" w:color="auto" w:fill="FFFFFF"/>
        <w:spacing w:before="100" w:beforeAutospacing="1" w:after="24" w:line="240" w:lineRule="auto"/>
        <w:rPr>
          <w:rFonts w:ascii="Arial" w:hAnsi="Arial" w:cs="Arial"/>
          <w:color w:val="202122"/>
          <w:sz w:val="19"/>
          <w:szCs w:val="19"/>
        </w:rPr>
      </w:pPr>
      <w:r>
        <w:rPr>
          <w:rStyle w:val="Marquedecommentaire"/>
        </w:rPr>
        <w:annotationRef/>
      </w:r>
      <w:r>
        <w:rPr>
          <w:rStyle w:val="CitationHTML"/>
          <w:rFonts w:ascii="Arial" w:hAnsi="Arial" w:cs="Arial"/>
          <w:color w:val="202122"/>
          <w:sz w:val="19"/>
          <w:szCs w:val="19"/>
        </w:rPr>
        <w:t>Barabell, A. J. (1998). </w:t>
      </w:r>
      <w:hyperlink r:id="rId2" w:history="1">
        <w:r>
          <w:rPr>
            <w:rStyle w:val="Lienhypertexte"/>
            <w:rFonts w:ascii="Arial" w:hAnsi="Arial" w:cs="Arial"/>
            <w:i/>
            <w:iCs/>
            <w:color w:val="3366BB"/>
            <w:sz w:val="19"/>
            <w:szCs w:val="19"/>
          </w:rPr>
          <w:t>"Performance Comparison of Superresolution Array Processing Algorithms. Revised"</w:t>
        </w:r>
      </w:hyperlink>
      <w:r>
        <w:rPr>
          <w:rStyle w:val="CitationHTML"/>
          <w:rFonts w:ascii="Arial" w:hAnsi="Arial" w:cs="Arial"/>
          <w:color w:val="202122"/>
          <w:sz w:val="19"/>
          <w:szCs w:val="19"/>
        </w:rPr>
        <w:t>  .Massachusetts Inst of Tech Lexington Lincoln Lab.</w:t>
      </w:r>
    </w:p>
  </w:comment>
  <w:comment w:id="23" w:author="Julien HAREL" w:date="2022-05-24T11:34:00Z" w:initials="JH">
    <w:p w14:paraId="5232AA59" w14:textId="77342E93" w:rsidR="00F424DA" w:rsidRDefault="00F424DA">
      <w:pPr>
        <w:pStyle w:val="Commentaire"/>
      </w:pPr>
      <w:r>
        <w:rPr>
          <w:rStyle w:val="Marquedecommentaire"/>
        </w:rPr>
        <w:annotationRef/>
      </w:r>
      <w:r>
        <w:rPr>
          <w:rFonts w:ascii="Arial" w:hAnsi="Arial" w:cs="Arial"/>
          <w:color w:val="202122"/>
          <w:sz w:val="19"/>
          <w:szCs w:val="19"/>
          <w:shd w:val="clear" w:color="auto" w:fill="FFFFFF"/>
        </w:rPr>
        <w:t>R. Roy and T. Kailath, "</w:t>
      </w:r>
      <w:hyperlink r:id="rId3" w:history="1">
        <w:r>
          <w:rPr>
            <w:rStyle w:val="Lienhypertexte"/>
            <w:rFonts w:ascii="Arial" w:hAnsi="Arial" w:cs="Arial"/>
            <w:color w:val="3366BB"/>
            <w:sz w:val="19"/>
            <w:szCs w:val="19"/>
            <w:shd w:val="clear" w:color="auto" w:fill="FFFFFF"/>
          </w:rPr>
          <w:t>ESPRIT-estimation of signal parameters via rotational invariance techniques</w:t>
        </w:r>
      </w:hyperlink>
      <w:r>
        <w:rPr>
          <w:rFonts w:ascii="Arial" w:hAnsi="Arial" w:cs="Arial"/>
          <w:color w:val="202122"/>
          <w:sz w:val="19"/>
          <w:szCs w:val="19"/>
          <w:shd w:val="clear" w:color="auto" w:fill="FFFFFF"/>
        </w:rPr>
        <w:t>," in IEEE Transactions on Acoustics, Speech, and Signal Processing, vol. 37, no. 7, pp. 984–995, Jul 1989.</w:t>
      </w:r>
    </w:p>
  </w:comment>
  <w:comment w:id="28" w:author="Julien HAREL" w:date="2022-05-25T14:42:00Z" w:initials="JH">
    <w:p w14:paraId="50131B66" w14:textId="77777777" w:rsidR="00F424DA" w:rsidRDefault="00F424DA">
      <w:pPr>
        <w:pStyle w:val="Commentaire"/>
      </w:pPr>
      <w:r>
        <w:rPr>
          <w:rStyle w:val="Marquedecommentaire"/>
        </w:rPr>
        <w:annotationRef/>
      </w:r>
      <w:r>
        <w:t xml:space="preserve">H. Cramer, Mathematical Methods of Statistics. Princeton University Press, 1946. </w:t>
      </w:r>
    </w:p>
    <w:p w14:paraId="7D633F01" w14:textId="77777777" w:rsidR="00F424DA" w:rsidRDefault="00F424DA">
      <w:pPr>
        <w:pStyle w:val="Commentaire"/>
      </w:pPr>
    </w:p>
    <w:p w14:paraId="53CE5481" w14:textId="41C9FFB3" w:rsidR="00F424DA" w:rsidRDefault="00F424DA">
      <w:pPr>
        <w:pStyle w:val="Commentaire"/>
      </w:pPr>
      <w:r>
        <w:t>C. Rao, “Information and the accuracy attainable in the estimation of statistical parame</w:t>
      </w:r>
      <w:r>
        <w:t>ters,” Bulletin of the Calcutta Mathematical Society, vol. 37, no. 3, pp. 81–91, 1945.</w:t>
      </w:r>
    </w:p>
  </w:comment>
  <w:comment w:id="29" w:author="Julien HAREL" w:date="2022-05-25T15:36:00Z" w:initials="JH">
    <w:p w14:paraId="553D4F08" w14:textId="77777777" w:rsidR="00F424DA" w:rsidRPr="00560132" w:rsidRDefault="00F424DA" w:rsidP="00244311">
      <w:pPr>
        <w:pStyle w:val="Bibliographie"/>
        <w:rPr>
          <w:rFonts w:cs="Calibri"/>
        </w:rPr>
      </w:pPr>
      <w:r>
        <w:rPr>
          <w:rStyle w:val="Marquedecommentaire"/>
        </w:rPr>
        <w:annotationRef/>
      </w:r>
      <w:r w:rsidRPr="00560132">
        <w:rPr>
          <w:rFonts w:cs="Calibri"/>
          <w:lang w:val="en-US"/>
        </w:rPr>
        <w:t xml:space="preserve">B. Friedlander and A. J. Weiss, “Direction finding in the presence of mutual coupling,” </w:t>
      </w:r>
      <w:r w:rsidRPr="00560132">
        <w:rPr>
          <w:rFonts w:cs="Calibri"/>
          <w:i/>
          <w:iCs/>
          <w:lang w:val="en-US"/>
        </w:rPr>
        <w:t xml:space="preserve">IEEE Trans. </w:t>
      </w:r>
      <w:r w:rsidRPr="00560132">
        <w:rPr>
          <w:rFonts w:cs="Calibri"/>
          <w:i/>
          <w:iCs/>
        </w:rPr>
        <w:t>Antennas Propag.</w:t>
      </w:r>
      <w:r w:rsidRPr="00560132">
        <w:rPr>
          <w:rFonts w:cs="Calibri"/>
        </w:rPr>
        <w:t>, vol. 39, no. 3, pp. 273–284, Mar. 1991.</w:t>
      </w:r>
    </w:p>
    <w:p w14:paraId="45E58338" w14:textId="77777777" w:rsidR="00F424DA" w:rsidRDefault="00F424DA" w:rsidP="00244311">
      <w:pPr>
        <w:pStyle w:val="Bibliographie"/>
        <w:rPr>
          <w:rFonts w:cs="Calibri"/>
        </w:rPr>
      </w:pPr>
    </w:p>
    <w:p w14:paraId="2C0DC657" w14:textId="277EC8AE" w:rsidR="00F424DA" w:rsidRPr="00560132" w:rsidRDefault="00F424DA" w:rsidP="00244311">
      <w:pPr>
        <w:pStyle w:val="Bibliographie"/>
        <w:rPr>
          <w:rFonts w:cs="Calibri"/>
        </w:rPr>
      </w:pPr>
      <w:r w:rsidRPr="00560132">
        <w:rPr>
          <w:rFonts w:cs="Calibri"/>
        </w:rPr>
        <w:t>“A. Bellion, ‘Etude et mise en œuvre de nouveaux concepts de systèmes antennaires multipolarisation, à faible encombrement, destinés à des applications de goniométrie dans les bandes V/UHF,’ Ph.D. dissertation, University of Limoges, 2008.”</w:t>
      </w:r>
    </w:p>
    <w:p w14:paraId="420FEC23" w14:textId="77E2DCCB" w:rsidR="00F424DA" w:rsidRDefault="00F424DA">
      <w:pPr>
        <w:pStyle w:val="Commentaire"/>
      </w:pPr>
    </w:p>
  </w:comment>
  <w:comment w:id="30" w:author="Julien HAREL" w:date="2022-05-31T16:30:00Z" w:initials="JH">
    <w:p w14:paraId="5BF80623" w14:textId="6CD42E31" w:rsidR="00123BD6" w:rsidRDefault="00123BD6">
      <w:pPr>
        <w:pStyle w:val="Commentaire"/>
      </w:pPr>
      <w:r>
        <w:rPr>
          <w:rStyle w:val="Marquedecommentaire"/>
        </w:rPr>
        <w:annotationRef/>
      </w:r>
      <w:r w:rsidRPr="00560132">
        <w:rPr>
          <w:rFonts w:cs="Calibri"/>
          <w:lang w:val="en-US"/>
        </w:rPr>
        <w:t xml:space="preserve">B. Friedlander and A. J. Weiss, “Direction finding in the presence of mutual coupling,” </w:t>
      </w:r>
      <w:r w:rsidRPr="00560132">
        <w:rPr>
          <w:rFonts w:cs="Calibri"/>
          <w:i/>
          <w:iCs/>
          <w:lang w:val="en-US"/>
        </w:rPr>
        <w:t xml:space="preserve">IEEE Trans. </w:t>
      </w:r>
      <w:r w:rsidRPr="00560132">
        <w:rPr>
          <w:rFonts w:cs="Calibri"/>
          <w:i/>
          <w:iCs/>
        </w:rPr>
        <w:t>Antennas Propag.</w:t>
      </w:r>
      <w:r w:rsidRPr="00560132">
        <w:rPr>
          <w:rFonts w:cs="Calibri"/>
        </w:rPr>
        <w:t>, vol. 39, no. 3, pp. 273–284, Mar. 1991.</w:t>
      </w:r>
    </w:p>
  </w:comment>
  <w:comment w:id="31" w:author="Julien HAREL" w:date="2022-05-31T17:08:00Z" w:initials="JH">
    <w:p w14:paraId="2B62B584" w14:textId="6DDF590A" w:rsidR="00F54830" w:rsidRDefault="00F54830">
      <w:pPr>
        <w:pStyle w:val="Commentaire"/>
      </w:pPr>
      <w:r>
        <w:rPr>
          <w:rStyle w:val="Marquedecommentaire"/>
        </w:rPr>
        <w:annotationRef/>
      </w:r>
      <w:r>
        <w:t>Etat de l’art LETI</w:t>
      </w:r>
    </w:p>
  </w:comment>
  <w:comment w:id="33" w:author="Julien HAREL" w:date="2022-05-27T14:29:00Z" w:initials="JH">
    <w:p w14:paraId="2AFC34C0" w14:textId="7D7B86D0" w:rsidR="006C644E" w:rsidRDefault="00F424DA">
      <w:pPr>
        <w:pStyle w:val="Commentaire"/>
      </w:pPr>
      <w:r>
        <w:rPr>
          <w:rStyle w:val="Marquedecommentaire"/>
        </w:rPr>
        <w:annotationRef/>
      </w:r>
      <w:r>
        <w:t>Etat de l’art du LETI</w:t>
      </w:r>
    </w:p>
  </w:comment>
  <w:comment w:id="35" w:author="Julien HAREL" w:date="2022-05-27T10:26:00Z" w:initials="JH">
    <w:p w14:paraId="76A27559" w14:textId="0141CE0F" w:rsidR="00F424DA" w:rsidRDefault="00F424DA">
      <w:pPr>
        <w:pStyle w:val="Commentaire"/>
      </w:pPr>
      <w:r>
        <w:rPr>
          <w:rStyle w:val="Marquedecommentaire"/>
        </w:rPr>
        <w:annotationRef/>
      </w:r>
      <w:r w:rsidR="00F54830" w:rsidRPr="00016E55">
        <w:rPr>
          <w:rFonts w:ascii="Times New Roman" w:eastAsia="Times New Roman" w:hAnsi="Times New Roman" w:cs="Times New Roman"/>
          <w:sz w:val="24"/>
          <w:szCs w:val="24"/>
          <w:lang w:eastAsia="fr-FR"/>
        </w:rPr>
        <w:t>J. Duplouy, « Wideband Reconfigurable Vector Antenna for 3-D Direction Finding Application », p. 245.</w:t>
      </w:r>
    </w:p>
  </w:comment>
  <w:comment w:id="36" w:author="Julien HAREL" w:date="2022-05-27T10:09:00Z" w:initials="JH">
    <w:p w14:paraId="54A687BC" w14:textId="697AAE54" w:rsidR="00F424DA" w:rsidRDefault="00F424DA">
      <w:pPr>
        <w:pStyle w:val="Commentaire"/>
      </w:pPr>
      <w:r>
        <w:rPr>
          <w:rStyle w:val="Marquedecommentaire"/>
        </w:rPr>
        <w:annotationRef/>
      </w:r>
      <w:r>
        <w:t>En dBW/m²</w:t>
      </w:r>
    </w:p>
  </w:comment>
  <w:comment w:id="37" w:author="Julien HAREL" w:date="2022-05-27T11:57:00Z" w:initials="JH">
    <w:p w14:paraId="7BDD1044" w14:textId="1E7C3190" w:rsidR="00F424DA" w:rsidRDefault="00F424DA">
      <w:pPr>
        <w:pStyle w:val="Commentaire"/>
      </w:pPr>
      <w:r>
        <w:rPr>
          <w:rStyle w:val="Marquedecommentaire"/>
        </w:rPr>
        <w:annotationRef/>
      </w:r>
      <w:r>
        <w:t>17°C</w:t>
      </w:r>
    </w:p>
  </w:comment>
  <w:comment w:id="39" w:author="Julien HAREL" w:date="2022-05-27T17:53:00Z" w:initials="JH">
    <w:p w14:paraId="3406C1E8" w14:textId="31B158E1" w:rsidR="00784020" w:rsidRDefault="00784020">
      <w:pPr>
        <w:pStyle w:val="Commentaire"/>
      </w:pPr>
      <w:r>
        <w:rPr>
          <w:rStyle w:val="Marquedecommentaire"/>
        </w:rPr>
        <w:annotationRef/>
      </w:r>
      <w:r>
        <w:t>Optimized algorithm for solving</w:t>
      </w:r>
      <w:r w:rsidR="00F54830">
        <w:t xml:space="preserve"> phase interferometer ambiguity</w:t>
      </w:r>
    </w:p>
    <w:p w14:paraId="2365ED5E" w14:textId="75FF2991" w:rsidR="005A7C0F" w:rsidRDefault="005A7C0F">
      <w:pPr>
        <w:pStyle w:val="Commentaire"/>
      </w:pPr>
    </w:p>
  </w:comment>
  <w:comment w:id="40" w:author="Julien HAREL" w:date="2022-05-28T16:14:00Z" w:initials="JH">
    <w:p w14:paraId="6B18F77B" w14:textId="702D1266" w:rsidR="005E73B6" w:rsidRDefault="005E73B6">
      <w:pPr>
        <w:pStyle w:val="Commentaire"/>
      </w:pPr>
      <w:r>
        <w:rPr>
          <w:rStyle w:val="Marquedecommentaire"/>
        </w:rPr>
        <w:annotationRef/>
      </w:r>
      <w:r>
        <w:t>S. U. Pillai and B. H. Kwon, “Forward/backward spatial smoothing techniques for coherent signal identification,” IEEE Transactions on Acoustics, Speech, and Signal Processing, vol. 37, pp. 8–15, 1989</w:t>
      </w:r>
    </w:p>
  </w:comment>
  <w:comment w:id="41" w:author="Julien HAREL" w:date="2022-05-28T16:39:00Z" w:initials="JH">
    <w:p w14:paraId="4CA2D819" w14:textId="72353542" w:rsidR="00F54830" w:rsidRPr="00F54830" w:rsidRDefault="008A77C8" w:rsidP="00F54830">
      <w:pPr>
        <w:jc w:val="center"/>
        <w:rPr>
          <w:rFonts w:ascii="Times New Roman" w:eastAsia="Times New Roman" w:hAnsi="Times New Roman" w:cs="Times New Roman"/>
          <w:sz w:val="24"/>
          <w:szCs w:val="24"/>
          <w:lang w:eastAsia="fr-FR"/>
        </w:rPr>
      </w:pPr>
      <w:r>
        <w:rPr>
          <w:rStyle w:val="Marquedecommentaire"/>
        </w:rPr>
        <w:annotationRef/>
      </w:r>
      <w:r w:rsidR="00F54830" w:rsidRPr="00F54830">
        <w:rPr>
          <w:rFonts w:ascii="Times New Roman" w:eastAsia="Times New Roman" w:hAnsi="Times New Roman" w:cs="Times New Roman"/>
          <w:sz w:val="24"/>
          <w:szCs w:val="24"/>
          <w:lang w:eastAsia="fr-FR"/>
        </w:rPr>
        <w:t>A. Ferréol, « Radio-goniométrie: modélisation, algorithmes, performances », p. 165.</w:t>
      </w:r>
    </w:p>
    <w:p w14:paraId="4D7409A3" w14:textId="72325D79" w:rsidR="008A77C8" w:rsidRDefault="008A77C8">
      <w:pPr>
        <w:pStyle w:val="Commentaire"/>
      </w:pPr>
    </w:p>
  </w:comment>
  <w:comment w:id="42" w:author="Julien HAREL" w:date="2022-05-29T11:04:00Z" w:initials="JH">
    <w:p w14:paraId="665BC740" w14:textId="62F70D7F" w:rsidR="00F54830" w:rsidRPr="00F54830" w:rsidRDefault="008A77C8" w:rsidP="00F54830">
      <w:pPr>
        <w:jc w:val="right"/>
        <w:rPr>
          <w:rFonts w:ascii="Times New Roman" w:eastAsia="Times New Roman" w:hAnsi="Times New Roman" w:cs="Times New Roman"/>
          <w:sz w:val="24"/>
          <w:szCs w:val="24"/>
          <w:lang w:eastAsia="fr-FR"/>
        </w:rPr>
      </w:pPr>
      <w:r>
        <w:rPr>
          <w:rStyle w:val="Marquedecommentaire"/>
        </w:rPr>
        <w:annotationRef/>
      </w:r>
      <w:r w:rsidR="00F54830" w:rsidRPr="00F54830">
        <w:rPr>
          <w:rFonts w:ascii="Times New Roman" w:eastAsia="Times New Roman" w:hAnsi="Times New Roman" w:cs="Times New Roman"/>
          <w:sz w:val="24"/>
          <w:szCs w:val="24"/>
          <w:lang w:eastAsia="fr-FR"/>
        </w:rPr>
        <w:t>A. Ferréol, « Radio-goniométrie: modélisation, algorithmes, performances », p. 165.</w:t>
      </w:r>
    </w:p>
    <w:p w14:paraId="31924D88" w14:textId="75426669" w:rsidR="008A77C8" w:rsidRDefault="008A77C8">
      <w:pPr>
        <w:pStyle w:val="Commentaire"/>
      </w:pPr>
    </w:p>
  </w:comment>
  <w:comment w:id="46" w:author="Julien HAREL" w:date="2022-05-24T10:07:00Z" w:initials="JH">
    <w:p w14:paraId="1B2F5C2E" w14:textId="7253CB99" w:rsidR="00F424DA" w:rsidRDefault="00F424DA">
      <w:pPr>
        <w:pStyle w:val="Commentaire"/>
      </w:pPr>
      <w:r>
        <w:rPr>
          <w:rStyle w:val="Marquedecommentaire"/>
        </w:rPr>
        <w:annotationRef/>
      </w:r>
      <w:r>
        <w:t>Log périodique : ANT-1040G  &amp; CS-1018ABN de Rockwell Collins</w:t>
      </w:r>
    </w:p>
    <w:p w14:paraId="19FF4DAE" w14:textId="12DCC46C" w:rsidR="00F424DA" w:rsidRDefault="00F424DA">
      <w:pPr>
        <w:pStyle w:val="Commentaire"/>
      </w:pPr>
      <w:r>
        <w:t>Cornet : D-1509 de CAES</w:t>
      </w:r>
    </w:p>
  </w:comment>
  <w:comment w:id="47" w:author="Julien HAREL" w:date="2022-05-24T10:00:00Z" w:initials="JH">
    <w:p w14:paraId="6C464770" w14:textId="30E4EE05" w:rsidR="00F424DA" w:rsidRDefault="00F424DA">
      <w:pPr>
        <w:pStyle w:val="Commentaire"/>
      </w:pPr>
      <w:r>
        <w:rPr>
          <w:rStyle w:val="Marquedecommentaire"/>
        </w:rPr>
        <w:annotationRef/>
      </w:r>
      <w:r>
        <w:t>Carac : 2-18 GHz avec réflecteur, VSWR &lt; 3.5 :1</w:t>
      </w:r>
    </w:p>
    <w:p w14:paraId="2748DA21" w14:textId="79917D02" w:rsidR="00F424DA" w:rsidRDefault="00F424DA">
      <w:pPr>
        <w:pStyle w:val="Commentaire"/>
      </w:pPr>
      <w:r>
        <w:t>Précision 0.05°</w:t>
      </w:r>
    </w:p>
    <w:p w14:paraId="5D75B15B" w14:textId="3797E7C9" w:rsidR="00F424DA" w:rsidRDefault="00F424DA">
      <w:pPr>
        <w:pStyle w:val="Commentaire"/>
      </w:pPr>
      <w:r>
        <w:t>Poids &lt; 60 kg</w:t>
      </w:r>
    </w:p>
    <w:p w14:paraId="40A5E6E6" w14:textId="0029D7EF" w:rsidR="00F424DA" w:rsidRDefault="00F424DA">
      <w:pPr>
        <w:pStyle w:val="Commentaire"/>
      </w:pPr>
      <w:r>
        <w:t>200 rpm</w:t>
      </w:r>
    </w:p>
  </w:comment>
  <w:comment w:id="49" w:author="Julien HAREL" w:date="2022-05-23T16:46:00Z" w:initials="JH">
    <w:p w14:paraId="5DBE0BFA" w14:textId="5D2E6C87" w:rsidR="00F424DA" w:rsidRDefault="00F424DA">
      <w:pPr>
        <w:pStyle w:val="Commentaire"/>
      </w:pPr>
      <w:r>
        <w:rPr>
          <w:rStyle w:val="Marquedecommentaire"/>
        </w:rPr>
        <w:annotationRef/>
      </w:r>
      <w:r>
        <w:t>Ref J.Duplouy (papier IEEE)</w:t>
      </w:r>
    </w:p>
  </w:comment>
  <w:comment w:id="50" w:author="Julien HAREL" w:date="2022-05-24T18:03:00Z" w:initials="JH">
    <w:p w14:paraId="2652281F" w14:textId="43219A9A" w:rsidR="00F424DA" w:rsidRDefault="00F424DA">
      <w:pPr>
        <w:pStyle w:val="Commentaire"/>
      </w:pPr>
      <w:r>
        <w:rPr>
          <w:rStyle w:val="Marquedecommentaire"/>
        </w:rPr>
        <w:annotationRef/>
      </w:r>
      <w:r w:rsidR="00F54830" w:rsidRPr="00016E55">
        <w:rPr>
          <w:rFonts w:ascii="Times New Roman" w:eastAsia="Times New Roman" w:hAnsi="Times New Roman" w:cs="Times New Roman"/>
          <w:sz w:val="24"/>
          <w:szCs w:val="24"/>
          <w:lang w:eastAsia="fr-FR"/>
        </w:rPr>
        <w:t>J. Duplouy, « Wideband Reconfigurable Vector Antenna for 3-D Direction Finding Application », p. 245.</w:t>
      </w:r>
    </w:p>
  </w:comment>
  <w:comment w:id="55" w:author="Julien HAREL" w:date="2022-05-30T10:23:00Z" w:initials="JH">
    <w:p w14:paraId="18B9EC4F" w14:textId="5CA9903D" w:rsidR="00CE2029" w:rsidRDefault="00CE2029">
      <w:pPr>
        <w:pStyle w:val="Commentaire"/>
      </w:pPr>
      <w:r>
        <w:rPr>
          <w:rStyle w:val="Marquedecommentaire"/>
        </w:rPr>
        <w:annotationRef/>
      </w:r>
      <w:r w:rsidRPr="00F4400B">
        <w:t xml:space="preserve">L. J.Chu, “Physical limitations on omni-directional antennas,” J. Appl. </w:t>
      </w:r>
      <w:r w:rsidRPr="002A3CA3">
        <w:t xml:space="preserve">Phys, vol. 19, Dec. 1948, pp.         </w:t>
      </w:r>
      <w:r w:rsidRPr="00E0522B">
        <w:t>1163-1175.</w:t>
      </w:r>
    </w:p>
  </w:comment>
  <w:comment w:id="56" w:author="Julien HAREL" w:date="2022-05-30T10:23:00Z" w:initials="JH">
    <w:p w14:paraId="77D696C1" w14:textId="1EDAE205" w:rsidR="00CE2029" w:rsidRDefault="00CE2029">
      <w:pPr>
        <w:pStyle w:val="Commentaire"/>
      </w:pPr>
      <w:r>
        <w:rPr>
          <w:rStyle w:val="Marquedecommentaire"/>
        </w:rPr>
        <w:annotationRef/>
      </w:r>
      <w:r w:rsidRPr="00E0522B">
        <w:t xml:space="preserve">H. A.Wheeler, “Fundamental limitations of small antennas,” Proc. IRE, vol. 35, Dec. 1947, </w:t>
      </w:r>
      <w:r>
        <w:t xml:space="preserve">                                                      </w:t>
      </w:r>
      <w:r w:rsidRPr="00E0522B">
        <w:t>pp.1479-1484.</w:t>
      </w:r>
    </w:p>
  </w:comment>
  <w:comment w:id="57" w:author="Julien HAREL" w:date="2022-05-30T10:24:00Z" w:initials="JH">
    <w:p w14:paraId="0FCBDC0D" w14:textId="291639BC" w:rsidR="00CE2029" w:rsidRDefault="00CE2029">
      <w:pPr>
        <w:pStyle w:val="Commentaire"/>
      </w:pPr>
      <w:r>
        <w:rPr>
          <w:rStyle w:val="Marquedecommentaire"/>
        </w:rPr>
        <w:annotationRef/>
      </w:r>
      <w:r>
        <w:t xml:space="preserve">R. F. </w:t>
      </w:r>
      <w:r w:rsidRPr="00035B2C">
        <w:t>Harrington,</w:t>
      </w:r>
      <w:r w:rsidRPr="00E0522B">
        <w:rPr>
          <w:b/>
          <w:bCs/>
        </w:rPr>
        <w:t xml:space="preserve"> </w:t>
      </w:r>
      <w:r w:rsidRPr="00E0522B">
        <w:rPr>
          <w:i/>
          <w:iCs/>
        </w:rPr>
        <w:t xml:space="preserve">Effect of antenna size on gain, bandwidth, and efficieny. </w:t>
      </w:r>
      <w:r w:rsidRPr="00E0522B">
        <w:t>june 1959.</w:t>
      </w:r>
    </w:p>
  </w:comment>
  <w:comment w:id="60" w:author="Julien HAREL" w:date="2022-05-30T10:25:00Z" w:initials="JH">
    <w:p w14:paraId="1EFE699F" w14:textId="20EA5456" w:rsidR="00CE2029" w:rsidRDefault="00CE2029">
      <w:pPr>
        <w:pStyle w:val="Commentaire"/>
      </w:pPr>
      <w:r>
        <w:rPr>
          <w:rStyle w:val="Marquedecommentaire"/>
        </w:rPr>
        <w:annotationRef/>
      </w:r>
      <w:r w:rsidRPr="00E0522B">
        <w:t xml:space="preserve">H. Morishita, </w:t>
      </w:r>
      <w:r w:rsidRPr="00E0522B">
        <w:rPr>
          <w:i/>
          <w:iCs/>
        </w:rPr>
        <w:t>Modern small antennas</w:t>
      </w:r>
      <w:r w:rsidRPr="00E0522B">
        <w:t>, vol. 9780521877. 2010.].</w:t>
      </w:r>
    </w:p>
  </w:comment>
  <w:comment w:id="63" w:author="Julien HAREL" w:date="2022-05-30T10:26:00Z" w:initials="JH">
    <w:p w14:paraId="036F40A3" w14:textId="1155FCF2" w:rsidR="00CE2029" w:rsidRDefault="00CE2029">
      <w:pPr>
        <w:pStyle w:val="Commentaire"/>
      </w:pPr>
      <w:r>
        <w:rPr>
          <w:rStyle w:val="Marquedecommentaire"/>
        </w:rPr>
        <w:annotationRef/>
      </w:r>
      <w:r w:rsidRPr="00E0522B">
        <w:rPr>
          <w:rFonts w:cs="Times-Roman"/>
        </w:rPr>
        <w:t xml:space="preserve">R. P. Feynman, R. Leighton, and M. Sands, </w:t>
      </w:r>
      <w:r w:rsidRPr="00E0522B">
        <w:rPr>
          <w:rFonts w:cs="Times-Italic"/>
          <w:i/>
          <w:iCs/>
        </w:rPr>
        <w:t xml:space="preserve">The Feynmen Lectures on Physics: Volume </w:t>
      </w:r>
      <w:r w:rsidRPr="00E0522B">
        <w:rPr>
          <w:rFonts w:cs="Times-Roman"/>
        </w:rPr>
        <w:t xml:space="preserve">1, Upper </w:t>
      </w:r>
      <w:r>
        <w:rPr>
          <w:rFonts w:cs="Times-Roman"/>
        </w:rPr>
        <w:t xml:space="preserve">                                              </w:t>
      </w:r>
      <w:r w:rsidRPr="00E0522B">
        <w:rPr>
          <w:rFonts w:cs="Times-Roman"/>
        </w:rPr>
        <w:t>Saddle River, NJ, AddisonWesley,</w:t>
      </w:r>
      <w:r w:rsidRPr="00E0522B">
        <w:rPr>
          <w:rFonts w:cs="Times-Italic"/>
          <w:i/>
          <w:iCs/>
        </w:rPr>
        <w:t xml:space="preserve"> </w:t>
      </w:r>
      <w:r w:rsidRPr="00E0522B">
        <w:rPr>
          <w:rFonts w:cs="Times-Roman"/>
        </w:rPr>
        <w:t>1961.</w:t>
      </w:r>
    </w:p>
  </w:comment>
  <w:comment w:id="65" w:author="Julien HAREL" w:date="2022-05-30T10:26:00Z" w:initials="JH">
    <w:p w14:paraId="4955E7DB" w14:textId="1A8FCE93" w:rsidR="00CE2029" w:rsidRDefault="00CE2029">
      <w:pPr>
        <w:pStyle w:val="Commentaire"/>
      </w:pPr>
      <w:r>
        <w:rPr>
          <w:rStyle w:val="Marquedecommentaire"/>
        </w:rPr>
        <w:annotationRef/>
      </w:r>
      <w:r w:rsidRPr="00E0522B">
        <w:rPr>
          <w:rFonts w:cs="Times-Roman"/>
        </w:rPr>
        <w:t xml:space="preserve">J. S. McLean, "A Re-Examination of the Fundamental Limits on the Radiation Q of Electrically Small Antennas," </w:t>
      </w:r>
      <w:r w:rsidRPr="00E0522B">
        <w:rPr>
          <w:rFonts w:cs="Times-Italic"/>
          <w:i/>
          <w:iCs/>
        </w:rPr>
        <w:t>IEEE Transactions</w:t>
      </w:r>
      <w:r w:rsidRPr="00E0522B">
        <w:rPr>
          <w:rFonts w:cs="Times-Roman"/>
        </w:rPr>
        <w:t xml:space="preserve"> </w:t>
      </w:r>
      <w:r w:rsidRPr="00E0522B">
        <w:rPr>
          <w:rFonts w:cs="Times-Italic"/>
          <w:i/>
          <w:iCs/>
        </w:rPr>
        <w:t xml:space="preserve">on Antennas and Propagation, </w:t>
      </w:r>
      <w:r w:rsidRPr="00E0522B">
        <w:rPr>
          <w:rFonts w:cs="Times-Roman"/>
        </w:rPr>
        <w:t>AP-44, 5, May 1996, pp. 672-676.</w:t>
      </w:r>
    </w:p>
  </w:comment>
  <w:comment w:id="66" w:author="Julien HAREL" w:date="2022-05-30T10:28:00Z" w:initials="JH">
    <w:p w14:paraId="23A09374" w14:textId="1BC7ACA9" w:rsidR="0029102E" w:rsidRDefault="0029102E">
      <w:pPr>
        <w:pStyle w:val="Commentaire"/>
      </w:pPr>
      <w:r>
        <w:rPr>
          <w:rStyle w:val="Marquedecommentaire"/>
        </w:rPr>
        <w:annotationRef/>
      </w:r>
      <w:r>
        <w:t>BP(-3dB) = 1/Q</w:t>
      </w:r>
    </w:p>
  </w:comment>
  <w:comment w:id="67" w:author="Julien HAREL" w:date="2022-05-30T10:29:00Z" w:initials="JH">
    <w:p w14:paraId="575E5B22" w14:textId="5748C7E5" w:rsidR="0029102E" w:rsidRDefault="0029102E">
      <w:pPr>
        <w:pStyle w:val="Commentaire"/>
      </w:pPr>
      <w:r>
        <w:rPr>
          <w:rStyle w:val="Marquedecommentaire"/>
        </w:rPr>
        <w:annotationRef/>
      </w:r>
      <w:r>
        <w:t>Equation McLean</w:t>
      </w:r>
    </w:p>
  </w:comment>
  <w:comment w:id="70" w:author="Julien HAREL" w:date="2022-05-30T10:55:00Z" w:initials="JH">
    <w:p w14:paraId="4C50019F" w14:textId="25F9477B" w:rsidR="000216AB" w:rsidRDefault="000216AB">
      <w:pPr>
        <w:pStyle w:val="Commentaire"/>
      </w:pPr>
      <w:r>
        <w:rPr>
          <w:rStyle w:val="Marquedecommentaire"/>
        </w:rPr>
        <w:annotationRef/>
      </w:r>
      <w:r>
        <w:t>Faire figure ? cf E.Kaverine</w:t>
      </w:r>
    </w:p>
  </w:comment>
  <w:comment w:id="71" w:author="Julien HAREL" w:date="2022-05-30T10:41:00Z" w:initials="JH">
    <w:p w14:paraId="389FC797" w14:textId="1D2C1854" w:rsidR="006E17C2" w:rsidRPr="006E17C2" w:rsidRDefault="006E17C2" w:rsidP="006E17C2">
      <w:pPr>
        <w:pStyle w:val="biblio"/>
        <w:rPr>
          <w:rFonts w:cs="CMR12"/>
        </w:rPr>
      </w:pPr>
      <w:r>
        <w:rPr>
          <w:rStyle w:val="Marquedecommentaire"/>
        </w:rPr>
        <w:annotationRef/>
      </w:r>
      <w:r w:rsidRPr="00E0522B">
        <w:rPr>
          <w:rFonts w:cs="CMR12"/>
        </w:rPr>
        <w:t>J. R. Pinks, “NDB Antennas”, Jan. 2012.</w:t>
      </w:r>
    </w:p>
  </w:comment>
  <w:comment w:id="72" w:author="Julien HAREL" w:date="2022-05-30T10:54:00Z" w:initials="JH">
    <w:p w14:paraId="5C4E22A1" w14:textId="725176E6" w:rsidR="000216AB" w:rsidRDefault="000216AB">
      <w:pPr>
        <w:pStyle w:val="Commentaire"/>
      </w:pPr>
      <w:r>
        <w:rPr>
          <w:rStyle w:val="Marquedecommentaire"/>
        </w:rPr>
        <w:annotationRef/>
      </w:r>
      <w:r>
        <w:t>Facteur de rayonnement Q</w:t>
      </w:r>
    </w:p>
  </w:comment>
  <w:comment w:id="74" w:author="Julien HAREL" w:date="2022-05-31T00:20:00Z" w:initials="JH">
    <w:p w14:paraId="177C85A8" w14:textId="338ABDB5" w:rsidR="004D5CCA" w:rsidRDefault="004D5CCA">
      <w:pPr>
        <w:pStyle w:val="Commentaire"/>
      </w:pPr>
      <w:r>
        <w:rPr>
          <w:rStyle w:val="Marquedecommentaire"/>
        </w:rPr>
        <w:annotationRef/>
      </w:r>
      <w:r>
        <w:t>J. D. Taylor, Introduction to Ultra-Wideband Radar Systems. CRC Press, 1994</w:t>
      </w:r>
    </w:p>
  </w:comment>
  <w:comment w:id="75" w:author="Julien HAREL" w:date="2022-05-31T00:07:00Z" w:initials="JH">
    <w:p w14:paraId="2210E83B" w14:textId="79ECE535" w:rsidR="00CA1D55" w:rsidRDefault="00CA1D55">
      <w:pPr>
        <w:pStyle w:val="Commentaire"/>
      </w:pPr>
      <w:r>
        <w:rPr>
          <w:rStyle w:val="Marquedecommentaire"/>
        </w:rPr>
        <w:annotationRef/>
      </w:r>
      <w:r w:rsidRPr="000A07BF">
        <w:rPr>
          <w:rFonts w:eastAsia="Times New Roman" w:cstheme="minorHAnsi"/>
          <w:lang w:eastAsia="fr-FR"/>
        </w:rPr>
        <w:t>H. Nadir, « Contribution à la conception d’antennes ultra large bande impulsionnelles d’encombrement réduit », p. 195.</w:t>
      </w:r>
      <w:r>
        <w:rPr>
          <w:rStyle w:val="Marquedecommentaire"/>
        </w:rPr>
        <w:annotationRef/>
      </w:r>
    </w:p>
  </w:comment>
  <w:comment w:id="78" w:author="Julien HAREL" w:date="2022-05-31T00:10:00Z" w:initials="JH">
    <w:p w14:paraId="4798ECD8" w14:textId="209EE1B6" w:rsidR="00F37131" w:rsidRDefault="00F37131">
      <w:pPr>
        <w:pStyle w:val="Commentaire"/>
      </w:pPr>
      <w:r>
        <w:rPr>
          <w:rStyle w:val="Marquedecommentaire"/>
        </w:rPr>
        <w:annotationRef/>
      </w:r>
      <w:r>
        <w:t>Y. Mushiake, “Self-complementary antennas,” IEEE Antennas and Propagation Magazine, vol. 34, no. 6, pp. 23–29, Dec 1992.</w:t>
      </w:r>
    </w:p>
  </w:comment>
  <w:comment w:id="79" w:author="Julien HAREL" w:date="2022-05-30T23:48:00Z" w:initials="JH">
    <w:p w14:paraId="28B915C9" w14:textId="12F003E1" w:rsidR="00ED3EF6" w:rsidRDefault="00ED3EF6">
      <w:pPr>
        <w:pStyle w:val="Commentaire"/>
      </w:pPr>
      <w:r>
        <w:rPr>
          <w:rStyle w:val="Marquedecommentaire"/>
        </w:rPr>
        <w:annotationRef/>
      </w:r>
      <w:r w:rsidR="00F54830" w:rsidRPr="00016E55">
        <w:rPr>
          <w:rFonts w:ascii="Times New Roman" w:eastAsia="Times New Roman" w:hAnsi="Times New Roman" w:cs="Times New Roman"/>
          <w:sz w:val="24"/>
          <w:szCs w:val="24"/>
          <w:lang w:eastAsia="fr-FR"/>
        </w:rPr>
        <w:t>J. Duplouy, « Wideband Reconfigurable Vector Antenna for 3-D Direction Finding Application », p. 245.</w:t>
      </w:r>
    </w:p>
  </w:comment>
  <w:comment w:id="80" w:author="Julien HAREL" w:date="2022-05-31T00:00:00Z" w:initials="JH">
    <w:p w14:paraId="2BF58A99" w14:textId="2FEAC9C1" w:rsidR="00ED3EF6" w:rsidRDefault="00ED3EF6">
      <w:pPr>
        <w:pStyle w:val="Commentaire"/>
      </w:pPr>
      <w:r>
        <w:rPr>
          <w:rStyle w:val="Marquedecommentaire"/>
        </w:rPr>
        <w:annotationRef/>
      </w:r>
      <w:r>
        <w:t>H. G. Booker, “Slot aerials and their relation to complementary wire aerials (Babinet’s principle),” Journal of the Institution of Electrical Engineers, vol. 93, no. 4, pp. 620–626, 1946.</w:t>
      </w:r>
    </w:p>
  </w:comment>
  <w:comment w:id="81" w:author="Julien HAREL" w:date="2022-05-30T23:34:00Z" w:initials="JH">
    <w:p w14:paraId="139477A4" w14:textId="1CD17986" w:rsidR="00ED3EF6" w:rsidRDefault="00ED3EF6">
      <w:pPr>
        <w:pStyle w:val="Commentaire"/>
      </w:pPr>
      <w:r>
        <w:rPr>
          <w:rStyle w:val="Marquedecommentaire"/>
        </w:rPr>
        <w:annotationRef/>
      </w:r>
      <w:r>
        <w:t xml:space="preserve"> </w:t>
      </w:r>
      <w:r>
        <w:t>J. L. Volakis, Antenna Engineering Handbook, 4th ed. McGraw-Hill Companies, 2007</w:t>
      </w:r>
    </w:p>
  </w:comment>
  <w:comment w:id="82" w:author="Julien HAREL" w:date="2022-05-31T00:06:00Z" w:initials="JH">
    <w:p w14:paraId="4B34F532" w14:textId="3DAC5679" w:rsidR="00CA1D55" w:rsidRDefault="00CA1D55">
      <w:pPr>
        <w:pStyle w:val="Commentaire"/>
      </w:pPr>
      <w:r>
        <w:rPr>
          <w:rStyle w:val="Marquedecommentaire"/>
        </w:rPr>
        <w:annotationRef/>
      </w:r>
      <w:r>
        <w:t>R. H. DuHamel and D. E. Isbell, “Broadband logarithmically periodic antenna structures,” in IRE International Convention Record, vol. 5, March 1957, pp. 119–128</w:t>
      </w:r>
    </w:p>
  </w:comment>
  <w:comment w:id="84" w:author="Julien HAREL" w:date="2022-05-30T17:57:00Z" w:initials="JH">
    <w:p w14:paraId="173FC7A3" w14:textId="7E4FE57C" w:rsidR="0078432A" w:rsidRDefault="0078432A">
      <w:pPr>
        <w:pStyle w:val="Commentaire"/>
      </w:pPr>
      <w:r>
        <w:rPr>
          <w:rStyle w:val="Marquedecommentaire"/>
        </w:rPr>
        <w:annotationRef/>
      </w:r>
      <w:r>
        <w:t>J. L. Volakis, Antenna Engineering Handbook, 4th ed. McGraw-Hill Companies, 2007.</w:t>
      </w:r>
    </w:p>
  </w:comment>
  <w:comment w:id="85" w:author="Julien HAREL" w:date="2022-05-30T23:07:00Z" w:initials="JH">
    <w:p w14:paraId="590F2541" w14:textId="57351F06" w:rsidR="00ED3EF6" w:rsidRDefault="00ED3EF6">
      <w:pPr>
        <w:pStyle w:val="Commentaire"/>
      </w:pPr>
      <w:r>
        <w:rPr>
          <w:rStyle w:val="Marquedecommentaire"/>
        </w:rPr>
        <w:annotationRef/>
      </w:r>
      <w:r w:rsidR="00F54830" w:rsidRPr="00016E55">
        <w:rPr>
          <w:rFonts w:ascii="Times New Roman" w:eastAsia="Times New Roman" w:hAnsi="Times New Roman" w:cs="Times New Roman"/>
          <w:sz w:val="24"/>
          <w:szCs w:val="24"/>
          <w:lang w:eastAsia="fr-FR"/>
        </w:rPr>
        <w:t>J. Duplouy, « Wideband Reconfigurable Vector Antenna for 3-D Direction Finding Application », p. 245.</w:t>
      </w:r>
    </w:p>
  </w:comment>
  <w:comment w:id="86" w:author="Julien HAREL" w:date="2022-05-31T09:27:00Z" w:initials="JH">
    <w:p w14:paraId="0124CE06" w14:textId="357B0C38" w:rsidR="00224252" w:rsidRDefault="00224252">
      <w:pPr>
        <w:pStyle w:val="Commentaire"/>
      </w:pPr>
      <w:r>
        <w:rPr>
          <w:rStyle w:val="Marquedecommentaire"/>
        </w:rPr>
        <w:annotationRef/>
      </w:r>
      <w:r>
        <w:t xml:space="preserve">P. J. Gibson, « The Vivaldi Aerial », in </w:t>
      </w:r>
      <w:r>
        <w:rPr>
          <w:i/>
          <w:iCs/>
        </w:rPr>
        <w:t>1979 9th European Microwave Conference</w:t>
      </w:r>
      <w:r>
        <w:t>, Brighton, UK, sept. 1979, p. 101</w:t>
      </w:r>
      <w:r>
        <w:noBreakHyphen/>
        <w:t xml:space="preserve">105. doi: </w:t>
      </w:r>
      <w:hyperlink r:id="rId4" w:history="1">
        <w:r>
          <w:rPr>
            <w:rStyle w:val="Lienhypertexte"/>
          </w:rPr>
          <w:t>10.1109/EUMA.1979.332681</w:t>
        </w:r>
      </w:hyperlink>
      <w:r>
        <w:rPr>
          <w:rStyle w:val="Marquedecommentaire"/>
        </w:rPr>
        <w:annotationRef/>
      </w:r>
      <w:r>
        <w:rPr>
          <w:rStyle w:val="Lienhypertexte"/>
        </w:rPr>
        <w:t>]</w:t>
      </w:r>
    </w:p>
  </w:comment>
  <w:comment w:id="87" w:author="Julien HAREL" w:date="2022-02-18T17:01:00Z" w:initials="JH">
    <w:p w14:paraId="41AA0628" w14:textId="2BF4002C" w:rsidR="00F424DA" w:rsidRDefault="00F424DA">
      <w:pPr>
        <w:pStyle w:val="Commentaire"/>
      </w:pPr>
      <w:r>
        <w:rPr>
          <w:rStyle w:val="Marquedecommentaire"/>
        </w:rPr>
        <w:annotationRef/>
      </w:r>
      <w:r>
        <w:t>D. Yang, S. Liu, and D. Geng, “A Miniaturized Ultra-Wideband Vivaldi Antenna with Low Cross Polarization,” IEEE Access, vol. 5, pp. 23 352– 23 357, 2017</w:t>
      </w:r>
    </w:p>
  </w:comment>
  <w:comment w:id="88" w:author="Julien HAREL" w:date="2022-05-31T09:22:00Z" w:initials="JH">
    <w:p w14:paraId="1F84AACD" w14:textId="5EBC15F0" w:rsidR="004F1990" w:rsidRPr="004F1990" w:rsidRDefault="004F1990" w:rsidP="004F1990">
      <w:pPr>
        <w:spacing w:after="0" w:line="240" w:lineRule="auto"/>
        <w:jc w:val="both"/>
        <w:rPr>
          <w:rFonts w:eastAsia="Times New Roman" w:cstheme="minorHAnsi"/>
          <w:lang w:eastAsia="fr-FR"/>
        </w:rPr>
      </w:pPr>
      <w:r>
        <w:rPr>
          <w:rStyle w:val="Marquedecommentaire"/>
        </w:rPr>
        <w:annotationRef/>
      </w:r>
      <w:r>
        <w:rPr>
          <w:rFonts w:eastAsia="Times New Roman" w:cstheme="minorHAnsi"/>
          <w:lang w:eastAsia="fr-FR"/>
        </w:rPr>
        <w:t>[</w:t>
      </w:r>
      <w:r w:rsidRPr="00C74C3B">
        <w:rPr>
          <w:rFonts w:eastAsia="Times New Roman" w:cstheme="minorHAnsi"/>
          <w:lang w:eastAsia="fr-FR"/>
        </w:rPr>
        <w:t>I. A. Abdallaoui, « Contribution à l’analyse CEM globale de structures et de circuits. Application aux antennes Vivaldi en présence d’un système non linéaire pour la récupération d’énergie: une approche FDTD », p. 172.</w:t>
      </w:r>
      <w:r>
        <w:rPr>
          <w:rFonts w:eastAsia="Times New Roman" w:cstheme="minorHAnsi"/>
          <w:lang w:eastAsia="fr-FR"/>
        </w:rPr>
        <w:t>]</w:t>
      </w:r>
    </w:p>
  </w:comment>
  <w:comment w:id="89" w:author="Julien HAREL" w:date="2022-05-31T09:24:00Z" w:initials="JH">
    <w:p w14:paraId="12E8B5ED" w14:textId="56E85CE6" w:rsidR="004213C0" w:rsidRDefault="004213C0">
      <w:pPr>
        <w:pStyle w:val="Commentaire"/>
      </w:pPr>
      <w:r>
        <w:rPr>
          <w:rStyle w:val="Marquedecommentaire"/>
        </w:rPr>
        <w:annotationRef/>
      </w:r>
      <w:r>
        <w:t>E. Gazit, “Improved design of the Vivaldi antenna,” IEE Proceedings H Microwaves, Ant and Propag, vol. 135, no. 2, p. 89, 1988</w:t>
      </w:r>
    </w:p>
  </w:comment>
  <w:comment w:id="90" w:author="Julien HAREL" w:date="2022-02-18T17:27:00Z" w:initials="JH">
    <w:p w14:paraId="32CFDCD5" w14:textId="7CB34B05" w:rsidR="00F424DA" w:rsidRDefault="00F424DA">
      <w:pPr>
        <w:pStyle w:val="Commentaire"/>
      </w:pPr>
      <w:r>
        <w:rPr>
          <w:rStyle w:val="Marquedecommentaire"/>
        </w:rPr>
        <w:annotationRef/>
      </w:r>
      <w:r>
        <w:t>M. A. Boujemaa, R. Herzi, F. Choubani, and A. Gharsallah, “UWB Antipodal Vivaldi antenna with higher radiation performances using metamaterials,” Appl Phys A-Mater, vol. 714, pp. 1–7, 2018. [Online]. Available: http://dx.doi.org/10.1007/s00339-018-2132-1</w:t>
      </w:r>
    </w:p>
  </w:comment>
  <w:comment w:id="91" w:author="Julien HAREL" w:date="2022-05-31T09:55:00Z" w:initials="JH">
    <w:p w14:paraId="5FE61B0F" w14:textId="01542001" w:rsidR="00943631" w:rsidRDefault="00943631" w:rsidP="00943631">
      <w:r>
        <w:rPr>
          <w:rStyle w:val="Marquedecommentaire"/>
        </w:rPr>
        <w:annotationRef/>
      </w:r>
      <w:r>
        <w:t xml:space="preserve">A. Molaei, M. Kaboli, S. A. Mirtaheri, et M. S. Abrishamian, « Dielectric lens balanced antipodal Vivaldi antenna with low cross‐polarisation for ultra‐wideband applications », </w:t>
      </w:r>
      <w:r>
        <w:rPr>
          <w:i/>
          <w:iCs/>
        </w:rPr>
        <w:t>IET Microwaves, Antennas &amp;amp; Propagation</w:t>
      </w:r>
      <w:r>
        <w:t>, vol. 8, n</w:t>
      </w:r>
      <w:r>
        <w:rPr>
          <w:vertAlign w:val="superscript"/>
        </w:rPr>
        <w:t>o</w:t>
      </w:r>
      <w:r>
        <w:t xml:space="preserve"> 14, p. 1137</w:t>
      </w:r>
      <w:r>
        <w:noBreakHyphen/>
        <w:t xml:space="preserve">1142, nov. 2014, doi: </w:t>
      </w:r>
      <w:hyperlink r:id="rId5" w:history="1">
        <w:r>
          <w:rPr>
            <w:rStyle w:val="Lienhypertexte"/>
          </w:rPr>
          <w:t>10.1049/iet-map.2014.0207</w:t>
        </w:r>
      </w:hyperlink>
      <w:r>
        <w:t>.</w:t>
      </w:r>
    </w:p>
    <w:p w14:paraId="0778A9E6" w14:textId="3B1A8B76" w:rsidR="00943631" w:rsidRDefault="00943631">
      <w:pPr>
        <w:pStyle w:val="Commentaire"/>
      </w:pPr>
    </w:p>
  </w:comment>
  <w:comment w:id="92" w:author="Julien HAREL" w:date="2022-02-18T17:20:00Z" w:initials="JH">
    <w:p w14:paraId="39812F36" w14:textId="693B7FA1" w:rsidR="00F424DA" w:rsidRDefault="00F424DA">
      <w:pPr>
        <w:pStyle w:val="Commentaire"/>
      </w:pPr>
      <w:r>
        <w:rPr>
          <w:rStyle w:val="Marquedecommentaire"/>
        </w:rPr>
        <w:annotationRef/>
      </w:r>
      <w:r>
        <w:t>Réf : C. Sarkar, C. Saha, L. A. Shaik, J. Y. Siddiqui, and Y. M. M. Antar, “Frequency notched balanced antipodal tapered slot antenna with very low cross- polarised radiation,” IET Microw Antenna P Res, vol. 12, no. 11, pp. 1859–1863, 2018</w:t>
      </w:r>
    </w:p>
  </w:comment>
  <w:comment w:id="93" w:author="Julien HAREL" w:date="2022-05-31T09:25:00Z" w:initials="JH">
    <w:p w14:paraId="21FB7AF3" w14:textId="274C48D3" w:rsidR="007B4C17" w:rsidRDefault="007B4C17">
      <w:pPr>
        <w:pStyle w:val="Commentaire"/>
      </w:pPr>
      <w:r>
        <w:rPr>
          <w:rStyle w:val="Marquedecommentaire"/>
        </w:rPr>
        <w:annotationRef/>
      </w:r>
      <w:r w:rsidRPr="000729B6">
        <w:rPr>
          <w:i/>
        </w:rPr>
        <w:t xml:space="preserve">A. S. Dixit et S. Kumar, « A Survey of Performance Enhancement Techniques of Antipodal Vivaldi Antenna », </w:t>
      </w:r>
      <w:r w:rsidRPr="000729B6">
        <w:rPr>
          <w:i/>
          <w:iCs/>
        </w:rPr>
        <w:t>IEEE Access</w:t>
      </w:r>
      <w:r w:rsidRPr="000729B6">
        <w:rPr>
          <w:i/>
        </w:rPr>
        <w:t>, vol. 8, p. 45774</w:t>
      </w:r>
      <w:r w:rsidRPr="000729B6">
        <w:rPr>
          <w:i/>
        </w:rPr>
        <w:noBreakHyphen/>
        <w:t xml:space="preserve">45796, 2020, doi: </w:t>
      </w:r>
      <w:hyperlink r:id="rId6" w:history="1">
        <w:r w:rsidRPr="000729B6">
          <w:rPr>
            <w:rStyle w:val="Lienhypertexte"/>
            <w:i/>
          </w:rPr>
          <w:t>10.1109/ACCESS.2020.2977167</w:t>
        </w:r>
      </w:hyperlink>
      <w:r w:rsidRPr="000729B6">
        <w:rPr>
          <w:i/>
        </w:rPr>
        <w:t>.</w:t>
      </w:r>
    </w:p>
  </w:comment>
  <w:comment w:id="94" w:author="Julien HAREL" w:date="2022-02-25T13:40:00Z" w:initials="JH">
    <w:p w14:paraId="339AFD50" w14:textId="3AF9E5DF" w:rsidR="00F424DA" w:rsidRDefault="00F424DA">
      <w:pPr>
        <w:pStyle w:val="Commentaire"/>
      </w:pPr>
      <w:r>
        <w:rPr>
          <w:rStyle w:val="Marquedecommentaire"/>
        </w:rPr>
        <w:annotationRef/>
      </w:r>
      <w:r w:rsidR="007B4C17" w:rsidRPr="000729B6">
        <w:rPr>
          <w:i/>
        </w:rPr>
        <w:t xml:space="preserve">A. S. Dixit et S. Kumar, « A Survey of Performance Enhancement Techniques of Antipodal Vivaldi Antenna », </w:t>
      </w:r>
      <w:r w:rsidR="007B4C17" w:rsidRPr="000729B6">
        <w:rPr>
          <w:i/>
          <w:iCs/>
        </w:rPr>
        <w:t>IEEE Access</w:t>
      </w:r>
      <w:r w:rsidR="007B4C17" w:rsidRPr="000729B6">
        <w:rPr>
          <w:i/>
        </w:rPr>
        <w:t>, vol. 8, p. 45774</w:t>
      </w:r>
      <w:r w:rsidR="007B4C17" w:rsidRPr="000729B6">
        <w:rPr>
          <w:i/>
        </w:rPr>
        <w:noBreakHyphen/>
        <w:t xml:space="preserve">45796, 2020, doi: </w:t>
      </w:r>
      <w:hyperlink r:id="rId7" w:history="1">
        <w:r w:rsidR="007B4C17" w:rsidRPr="000729B6">
          <w:rPr>
            <w:rStyle w:val="Lienhypertexte"/>
            <w:i/>
          </w:rPr>
          <w:t>10.1109/ACCESS.2020.2977167</w:t>
        </w:r>
      </w:hyperlink>
      <w:r w:rsidR="007B4C17" w:rsidRPr="000729B6">
        <w:rPr>
          <w:i/>
        </w:rPr>
        <w:t>.</w:t>
      </w:r>
    </w:p>
  </w:comment>
  <w:comment w:id="95" w:author="Julien HAREL" w:date="2022-02-25T14:49:00Z" w:initials="JH">
    <w:p w14:paraId="3F0816C0" w14:textId="5A2A4944" w:rsidR="00F424DA" w:rsidRDefault="00F424DA" w:rsidP="00F431B4">
      <w:pPr>
        <w:pStyle w:val="Paragraphedeliste"/>
        <w:ind w:left="0"/>
      </w:pPr>
      <w:r>
        <w:rPr>
          <w:rStyle w:val="Marquedecommentaire"/>
        </w:rPr>
        <w:annotationRef/>
      </w:r>
      <w:r>
        <w:rPr>
          <w:rStyle w:val="Marquedecommentaire"/>
        </w:rPr>
        <w:annotationRef/>
      </w:r>
      <w:r>
        <w:t xml:space="preserve">R. Janaswamy and D. H. Schaubert, “Analysis of the tapered slot antennas,” IEEE Trans. Antennas Propag., vol. 35, no. 9, </w:t>
      </w:r>
      <w:r w:rsidR="00F431B4">
        <w:t xml:space="preserve">pp. 1058–1065, Sep. 1987. </w:t>
      </w:r>
      <w:r w:rsidR="00F431B4">
        <w:br/>
      </w:r>
      <w:r>
        <w:t>F.-C. Ren, F.-S. Zhang, B. Chen, and Q.-C. Zhou, “Compact tapered slot antenna for wideband applications,” in Proc. IEEE CIE Int. Conf. Radar, Oct. 2011, vol. 2, pp. 1161–1163.</w:t>
      </w:r>
    </w:p>
    <w:p w14:paraId="345D95F3" w14:textId="77777777" w:rsidR="00F424DA" w:rsidRDefault="00F424DA" w:rsidP="009A4CB3">
      <w:pPr>
        <w:pStyle w:val="Commentaire"/>
      </w:pPr>
    </w:p>
    <w:p w14:paraId="69D2F45A" w14:textId="5CF50685" w:rsidR="00F424DA" w:rsidRDefault="00F424DA">
      <w:pPr>
        <w:pStyle w:val="Commentaire"/>
      </w:pPr>
    </w:p>
  </w:comment>
  <w:comment w:id="96" w:author="Julien HAREL" w:date="2022-05-31T10:23:00Z" w:initials="JH">
    <w:p w14:paraId="77218830" w14:textId="3F11CCA2" w:rsidR="00453889" w:rsidRDefault="00453889" w:rsidP="00453889">
      <w:pPr>
        <w:pStyle w:val="Commentaire"/>
      </w:pPr>
      <w:r>
        <w:rPr>
          <w:rStyle w:val="Marquedecommentaire"/>
        </w:rPr>
        <w:annotationRef/>
      </w:r>
      <w:r>
        <w:t>A.</w:t>
      </w:r>
      <w:r>
        <w:t>M. De Oliveira, M. B. Perotoni, S. T. Kofuji, and J. F. Justo, “A palm tree Antipodal Vivaldi Antenna with exponential slot edge for improved radiation pattern,” IEEE Antennas Wireless Propag. Lett., vol. 14, pp. 1334–1337, 2015</w:t>
      </w:r>
    </w:p>
    <w:p w14:paraId="28E42A8F" w14:textId="77777777" w:rsidR="00453889" w:rsidRDefault="00453889" w:rsidP="00453889">
      <w:pPr>
        <w:pStyle w:val="Commentaire"/>
      </w:pPr>
    </w:p>
    <w:p w14:paraId="174DDB36" w14:textId="2EF66F1F" w:rsidR="00453889" w:rsidRDefault="00453889" w:rsidP="00453889">
      <w:pPr>
        <w:pStyle w:val="Commentaire"/>
      </w:pPr>
      <w:r>
        <w:t>T. Yagisawa, K. Koshiji, O. Hashimoto, S. Nishizawa, N. Yokoyama, K. Wada, and T. K. Sarkar, “Design and Analysis of Broadband Antipodal Vivaldi Antenna for Radio Over Fiber Systems,” Microw Opt Technol Lett., vol. 59, no. 6, pp. 1441–, 2007.</w:t>
      </w:r>
    </w:p>
  </w:comment>
  <w:comment w:id="97" w:author="Julien HAREL" w:date="2022-05-31T10:33:00Z" w:initials="JH">
    <w:p w14:paraId="5BE943EF" w14:textId="635A958A" w:rsidR="00C71EAE" w:rsidRDefault="00C71EAE" w:rsidP="00C71EAE">
      <w:pPr>
        <w:pStyle w:val="Paragraphedeliste"/>
        <w:ind w:left="0"/>
        <w:jc w:val="both"/>
      </w:pPr>
      <w:r>
        <w:rPr>
          <w:rStyle w:val="Marquedecommentaire"/>
        </w:rPr>
        <w:annotationRef/>
      </w:r>
      <w:r>
        <w:t>[</w:t>
      </w:r>
      <w:r w:rsidRPr="00B40C66">
        <w:rPr>
          <w:i/>
        </w:rPr>
        <w:t>P. J. Eichenberger, E. Yetisir, and N. Ghalichechian, “High-Gain Antipodal Vivaldi Antenna with Pseudoelement and Notched Tapered Slot Operating at 2.5-57 GHz,” IEEE Trans. Antennas Propag, pp. 1–11, 2019</w:t>
      </w:r>
      <w:r>
        <w:t>].</w:t>
      </w:r>
    </w:p>
  </w:comment>
  <w:comment w:id="98" w:author="Julien HAREL" w:date="2022-05-31T10:34:00Z" w:initials="JH">
    <w:p w14:paraId="38757BB6" w14:textId="4DE66E9B" w:rsidR="00C71EAE" w:rsidRDefault="00C71EAE">
      <w:pPr>
        <w:pStyle w:val="Commentaire"/>
      </w:pPr>
      <w:r>
        <w:rPr>
          <w:rStyle w:val="Marquedecommentaire"/>
        </w:rPr>
        <w:annotationRef/>
      </w:r>
      <w:r w:rsidRPr="000729B6">
        <w:rPr>
          <w:i/>
        </w:rPr>
        <w:t xml:space="preserve">A. S. Dixit et S. Kumar, « A Survey of Performance Enhancement Techniques of Antipodal Vivaldi Antenna », </w:t>
      </w:r>
      <w:r w:rsidRPr="000729B6">
        <w:rPr>
          <w:i/>
          <w:iCs/>
        </w:rPr>
        <w:t>IEEE Access</w:t>
      </w:r>
      <w:r w:rsidRPr="000729B6">
        <w:rPr>
          <w:i/>
        </w:rPr>
        <w:t>, vol. 8, p. 45774</w:t>
      </w:r>
      <w:r w:rsidRPr="000729B6">
        <w:rPr>
          <w:i/>
        </w:rPr>
        <w:noBreakHyphen/>
        <w:t xml:space="preserve">45796, 2020, doi: </w:t>
      </w:r>
      <w:hyperlink r:id="rId8" w:history="1">
        <w:r w:rsidRPr="000729B6">
          <w:rPr>
            <w:rStyle w:val="Lienhypertexte"/>
            <w:i/>
          </w:rPr>
          <w:t>10.1109/ACCESS.2020.2977167</w:t>
        </w:r>
      </w:hyperlink>
      <w:r w:rsidRPr="000729B6">
        <w:rPr>
          <w:i/>
        </w:rPr>
        <w:t>.</w:t>
      </w:r>
    </w:p>
  </w:comment>
  <w:comment w:id="99" w:author="Julien HAREL" w:date="2022-05-31T10:35:00Z" w:initials="JH">
    <w:p w14:paraId="3EDB6846" w14:textId="10892013" w:rsidR="00C71EAE" w:rsidRDefault="00C71EAE">
      <w:pPr>
        <w:pStyle w:val="Commentaire"/>
      </w:pPr>
      <w:r>
        <w:rPr>
          <w:rStyle w:val="Marquedecommentaire"/>
        </w:rPr>
        <w:annotationRef/>
      </w:r>
      <w:r w:rsidRPr="000729B6">
        <w:rPr>
          <w:i/>
        </w:rPr>
        <w:t xml:space="preserve">A. S. Dixit et S. Kumar, « A Survey of Performance Enhancement Techniques of Antipodal Vivaldi Antenna », </w:t>
      </w:r>
      <w:r w:rsidRPr="000729B6">
        <w:rPr>
          <w:i/>
          <w:iCs/>
        </w:rPr>
        <w:t>IEEE Access</w:t>
      </w:r>
      <w:r w:rsidRPr="000729B6">
        <w:rPr>
          <w:i/>
        </w:rPr>
        <w:t>, vol. 8, p. 45774</w:t>
      </w:r>
      <w:r w:rsidRPr="000729B6">
        <w:rPr>
          <w:i/>
        </w:rPr>
        <w:noBreakHyphen/>
        <w:t xml:space="preserve">45796, 2020, doi: </w:t>
      </w:r>
      <w:hyperlink r:id="rId9" w:history="1">
        <w:r w:rsidRPr="000729B6">
          <w:rPr>
            <w:rStyle w:val="Lienhypertexte"/>
            <w:i/>
          </w:rPr>
          <w:t>10.1109/ACCESS.2020.2977167</w:t>
        </w:r>
      </w:hyperlink>
      <w:r w:rsidRPr="000729B6">
        <w:rPr>
          <w:i/>
        </w:rPr>
        <w:t>.</w:t>
      </w:r>
    </w:p>
  </w:comment>
  <w:comment w:id="100" w:author="Julien HAREL" w:date="2022-05-31T10:39:00Z" w:initials="JH">
    <w:p w14:paraId="4DDFB92B" w14:textId="265A76B6" w:rsidR="00F4784F" w:rsidRDefault="00F4784F">
      <w:pPr>
        <w:pStyle w:val="Commentaire"/>
      </w:pPr>
      <w:r>
        <w:rPr>
          <w:rStyle w:val="Marquedecommentaire"/>
        </w:rPr>
        <w:annotationRef/>
      </w:r>
      <w:r w:rsidRPr="000729B6">
        <w:rPr>
          <w:i/>
        </w:rPr>
        <w:t xml:space="preserve">A. S. Dixit et S. Kumar, « A Survey of Performance Enhancement Techniques of Antipodal Vivaldi Antenna », </w:t>
      </w:r>
      <w:r w:rsidRPr="000729B6">
        <w:rPr>
          <w:i/>
          <w:iCs/>
        </w:rPr>
        <w:t>IEEE Access</w:t>
      </w:r>
      <w:r w:rsidRPr="000729B6">
        <w:rPr>
          <w:i/>
        </w:rPr>
        <w:t>, vol. 8, p. 45774</w:t>
      </w:r>
      <w:r w:rsidRPr="000729B6">
        <w:rPr>
          <w:i/>
        </w:rPr>
        <w:noBreakHyphen/>
        <w:t xml:space="preserve">45796, 2020, doi: </w:t>
      </w:r>
      <w:hyperlink r:id="rId10" w:history="1">
        <w:r w:rsidRPr="000729B6">
          <w:rPr>
            <w:rStyle w:val="Lienhypertexte"/>
            <w:i/>
          </w:rPr>
          <w:t>10.1109/ACCESS.2020.2977167</w:t>
        </w:r>
      </w:hyperlink>
      <w:r w:rsidRPr="000729B6">
        <w:rPr>
          <w:i/>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F85B31" w15:done="0"/>
  <w15:commentEx w15:paraId="12CB2117" w15:done="0"/>
  <w15:commentEx w15:paraId="6B6B3F54" w15:done="0"/>
  <w15:commentEx w15:paraId="24E8CE62" w15:done="0"/>
  <w15:commentEx w15:paraId="79023225" w15:done="0"/>
  <w15:commentEx w15:paraId="51A01F62" w15:done="0"/>
  <w15:commentEx w15:paraId="60DAEB63" w15:done="0"/>
  <w15:commentEx w15:paraId="26DB8A66" w15:done="0"/>
  <w15:commentEx w15:paraId="517AB4CF" w15:done="0"/>
  <w15:commentEx w15:paraId="235C075C" w15:done="0"/>
  <w15:commentEx w15:paraId="790C77BF" w15:done="0"/>
  <w15:commentEx w15:paraId="3DD4724D" w15:done="0"/>
  <w15:commentEx w15:paraId="05E560EA" w15:done="0"/>
  <w15:commentEx w15:paraId="751C76B6" w15:done="0"/>
  <w15:commentEx w15:paraId="5232AA59" w15:done="0"/>
  <w15:commentEx w15:paraId="53CE5481" w15:done="0"/>
  <w15:commentEx w15:paraId="420FEC23" w15:done="0"/>
  <w15:commentEx w15:paraId="5BF80623" w15:done="0"/>
  <w15:commentEx w15:paraId="2B62B584" w15:done="0"/>
  <w15:commentEx w15:paraId="2AFC34C0" w15:done="0"/>
  <w15:commentEx w15:paraId="76A27559" w15:done="0"/>
  <w15:commentEx w15:paraId="54A687BC" w15:done="0"/>
  <w15:commentEx w15:paraId="7BDD1044" w15:done="0"/>
  <w15:commentEx w15:paraId="2365ED5E" w15:done="0"/>
  <w15:commentEx w15:paraId="6B18F77B" w15:done="0"/>
  <w15:commentEx w15:paraId="4D7409A3" w15:done="0"/>
  <w15:commentEx w15:paraId="31924D88" w15:done="0"/>
  <w15:commentEx w15:paraId="19FF4DAE" w15:done="0"/>
  <w15:commentEx w15:paraId="40A5E6E6" w15:done="0"/>
  <w15:commentEx w15:paraId="5DBE0BFA" w15:done="0"/>
  <w15:commentEx w15:paraId="2652281F" w15:done="0"/>
  <w15:commentEx w15:paraId="18B9EC4F" w15:done="0"/>
  <w15:commentEx w15:paraId="77D696C1" w15:done="0"/>
  <w15:commentEx w15:paraId="0FCBDC0D" w15:done="0"/>
  <w15:commentEx w15:paraId="1EFE699F" w15:done="0"/>
  <w15:commentEx w15:paraId="036F40A3" w15:done="0"/>
  <w15:commentEx w15:paraId="4955E7DB" w15:done="0"/>
  <w15:commentEx w15:paraId="23A09374" w15:done="0"/>
  <w15:commentEx w15:paraId="575E5B22" w15:done="0"/>
  <w15:commentEx w15:paraId="4C50019F" w15:done="0"/>
  <w15:commentEx w15:paraId="389FC797" w15:done="0"/>
  <w15:commentEx w15:paraId="5C4E22A1" w15:done="0"/>
  <w15:commentEx w15:paraId="177C85A8" w15:done="0"/>
  <w15:commentEx w15:paraId="2210E83B" w15:done="0"/>
  <w15:commentEx w15:paraId="4798ECD8" w15:done="0"/>
  <w15:commentEx w15:paraId="28B915C9" w15:done="0"/>
  <w15:commentEx w15:paraId="2BF58A99" w15:done="0"/>
  <w15:commentEx w15:paraId="139477A4" w15:done="0"/>
  <w15:commentEx w15:paraId="4B34F532" w15:done="0"/>
  <w15:commentEx w15:paraId="173FC7A3" w15:done="0"/>
  <w15:commentEx w15:paraId="590F2541" w15:done="0"/>
  <w15:commentEx w15:paraId="0124CE06" w15:done="0"/>
  <w15:commentEx w15:paraId="41AA0628" w15:done="0"/>
  <w15:commentEx w15:paraId="1F84AACD" w15:done="0"/>
  <w15:commentEx w15:paraId="12E8B5ED" w15:done="0"/>
  <w15:commentEx w15:paraId="32CFDCD5" w15:done="0"/>
  <w15:commentEx w15:paraId="0778A9E6" w15:done="0"/>
  <w15:commentEx w15:paraId="39812F36" w15:done="0"/>
  <w15:commentEx w15:paraId="21FB7AF3" w15:done="0"/>
  <w15:commentEx w15:paraId="339AFD50" w15:done="0"/>
  <w15:commentEx w15:paraId="69D2F45A" w15:done="0"/>
  <w15:commentEx w15:paraId="174DDB36" w15:done="0"/>
  <w15:commentEx w15:paraId="5BE943EF" w15:done="0"/>
  <w15:commentEx w15:paraId="38757BB6" w15:done="0"/>
  <w15:commentEx w15:paraId="3EDB6846" w15:done="0"/>
  <w15:commentEx w15:paraId="4DDFB9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681BD" w14:textId="77777777" w:rsidR="008A5177" w:rsidRDefault="008A5177" w:rsidP="00A86208">
      <w:pPr>
        <w:spacing w:after="0" w:line="240" w:lineRule="auto"/>
      </w:pPr>
      <w:r>
        <w:separator/>
      </w:r>
    </w:p>
  </w:endnote>
  <w:endnote w:type="continuationSeparator" w:id="0">
    <w:p w14:paraId="20633D1B" w14:textId="77777777" w:rsidR="008A5177" w:rsidRDefault="008A5177" w:rsidP="00A86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 w:name="CMR12">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685150"/>
      <w:docPartObj>
        <w:docPartGallery w:val="Page Numbers (Bottom of Page)"/>
        <w:docPartUnique/>
      </w:docPartObj>
    </w:sdtPr>
    <w:sdtContent>
      <w:p w14:paraId="47EF1DA9" w14:textId="4A07FF1D" w:rsidR="00F424DA" w:rsidRDefault="00F424DA">
        <w:pPr>
          <w:pStyle w:val="Pieddepage"/>
          <w:jc w:val="right"/>
        </w:pPr>
        <w:r>
          <w:fldChar w:fldCharType="begin"/>
        </w:r>
        <w:r>
          <w:instrText>PAGE   \* MERGEFORMAT</w:instrText>
        </w:r>
        <w:r>
          <w:fldChar w:fldCharType="separate"/>
        </w:r>
        <w:r w:rsidR="00C32EB5">
          <w:rPr>
            <w:noProof/>
          </w:rPr>
          <w:t>30</w:t>
        </w:r>
        <w:r>
          <w:fldChar w:fldCharType="end"/>
        </w:r>
      </w:p>
    </w:sdtContent>
  </w:sdt>
  <w:p w14:paraId="3D972D7E" w14:textId="77777777" w:rsidR="00F424DA" w:rsidRDefault="00F424D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F8649" w14:textId="77777777" w:rsidR="008A5177" w:rsidRDefault="008A5177" w:rsidP="00A86208">
      <w:pPr>
        <w:spacing w:after="0" w:line="240" w:lineRule="auto"/>
      </w:pPr>
      <w:r>
        <w:separator/>
      </w:r>
    </w:p>
  </w:footnote>
  <w:footnote w:type="continuationSeparator" w:id="0">
    <w:p w14:paraId="6DC808BF" w14:textId="77777777" w:rsidR="008A5177" w:rsidRDefault="008A5177" w:rsidP="00A86208">
      <w:pPr>
        <w:spacing w:after="0" w:line="240" w:lineRule="auto"/>
      </w:pPr>
      <w:r>
        <w:continuationSeparator/>
      </w:r>
    </w:p>
  </w:footnote>
  <w:footnote w:id="1">
    <w:p w14:paraId="46CBA7A3" w14:textId="6501DDA4" w:rsidR="00F424DA" w:rsidRDefault="00F424DA">
      <w:pPr>
        <w:pStyle w:val="Notedebasdepage"/>
      </w:pPr>
      <w:r>
        <w:rPr>
          <w:rStyle w:val="Appelnotedebasdep"/>
        </w:rPr>
        <w:footnoteRef/>
      </w:r>
      <w:r>
        <w:t xml:space="preserve"> Célèbre compositeur des </w:t>
      </w:r>
      <w:r w:rsidRPr="005C6778">
        <w:rPr>
          <w:i/>
        </w:rPr>
        <w:t>Quatre Saisons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D1661"/>
    <w:multiLevelType w:val="multilevel"/>
    <w:tmpl w:val="4AE22D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760A78"/>
    <w:multiLevelType w:val="multilevel"/>
    <w:tmpl w:val="3AEA70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052F66"/>
    <w:multiLevelType w:val="multilevel"/>
    <w:tmpl w:val="E7622E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3DE3B57"/>
    <w:multiLevelType w:val="hybridMultilevel"/>
    <w:tmpl w:val="7D76AF90"/>
    <w:lvl w:ilvl="0" w:tplc="5AE0D0F2">
      <w:start w:val="24"/>
      <w:numFmt w:val="bullet"/>
      <w:lvlText w:val=""/>
      <w:lvlJc w:val="left"/>
      <w:pPr>
        <w:ind w:left="720" w:hanging="360"/>
      </w:pPr>
      <w:rPr>
        <w:rFonts w:ascii="Wingdings" w:eastAsia="Batang"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4006A9"/>
    <w:multiLevelType w:val="multilevel"/>
    <w:tmpl w:val="56F2D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BE6E73"/>
    <w:multiLevelType w:val="hybridMultilevel"/>
    <w:tmpl w:val="140E9A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F77E73"/>
    <w:multiLevelType w:val="hybridMultilevel"/>
    <w:tmpl w:val="E528ECD4"/>
    <w:lvl w:ilvl="0" w:tplc="D584B9A8">
      <w:start w:val="24"/>
      <w:numFmt w:val="bullet"/>
      <w:lvlText w:val=""/>
      <w:lvlJc w:val="left"/>
      <w:pPr>
        <w:ind w:left="720" w:hanging="360"/>
      </w:pPr>
      <w:rPr>
        <w:rFonts w:ascii="Wingdings" w:eastAsia="Batang"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FE81B83"/>
    <w:multiLevelType w:val="hybridMultilevel"/>
    <w:tmpl w:val="73BA0F98"/>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8">
    <w:nsid w:val="60F6179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1B581B"/>
    <w:multiLevelType w:val="hybridMultilevel"/>
    <w:tmpl w:val="BCF21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C3D3B92"/>
    <w:multiLevelType w:val="hybridMultilevel"/>
    <w:tmpl w:val="202ED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17C6527"/>
    <w:multiLevelType w:val="hybridMultilevel"/>
    <w:tmpl w:val="AB52F60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7D0443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F407CC2"/>
    <w:multiLevelType w:val="multilevel"/>
    <w:tmpl w:val="6C2EB6B6"/>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8"/>
  </w:num>
  <w:num w:numId="3">
    <w:abstractNumId w:val="0"/>
  </w:num>
  <w:num w:numId="4">
    <w:abstractNumId w:val="2"/>
  </w:num>
  <w:num w:numId="5">
    <w:abstractNumId w:val="12"/>
  </w:num>
  <w:num w:numId="6">
    <w:abstractNumId w:val="9"/>
  </w:num>
  <w:num w:numId="7">
    <w:abstractNumId w:val="10"/>
  </w:num>
  <w:num w:numId="8">
    <w:abstractNumId w:val="11"/>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6"/>
  </w:num>
  <w:num w:numId="1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n HAREL">
    <w15:presenceInfo w15:providerId="AD" w15:userId="S-1-5-21-2718981395-2814295682-4030710678-1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18B"/>
    <w:rsid w:val="00000ECD"/>
    <w:rsid w:val="00016E19"/>
    <w:rsid w:val="00016E55"/>
    <w:rsid w:val="000216AB"/>
    <w:rsid w:val="00023775"/>
    <w:rsid w:val="00023CE5"/>
    <w:rsid w:val="00033864"/>
    <w:rsid w:val="00045F52"/>
    <w:rsid w:val="000505C3"/>
    <w:rsid w:val="00056420"/>
    <w:rsid w:val="00061D0A"/>
    <w:rsid w:val="00071E79"/>
    <w:rsid w:val="00083C6B"/>
    <w:rsid w:val="00084D5D"/>
    <w:rsid w:val="00086BF5"/>
    <w:rsid w:val="00090A7D"/>
    <w:rsid w:val="00093217"/>
    <w:rsid w:val="000A035C"/>
    <w:rsid w:val="000A5E8B"/>
    <w:rsid w:val="000C0623"/>
    <w:rsid w:val="000C1BED"/>
    <w:rsid w:val="000C5DC9"/>
    <w:rsid w:val="000D06F8"/>
    <w:rsid w:val="000F60A8"/>
    <w:rsid w:val="000F756F"/>
    <w:rsid w:val="00100AED"/>
    <w:rsid w:val="00103F2F"/>
    <w:rsid w:val="00110125"/>
    <w:rsid w:val="0011788E"/>
    <w:rsid w:val="00123BD6"/>
    <w:rsid w:val="00142B57"/>
    <w:rsid w:val="0015124D"/>
    <w:rsid w:val="00151BD5"/>
    <w:rsid w:val="00151E87"/>
    <w:rsid w:val="001563BC"/>
    <w:rsid w:val="00162323"/>
    <w:rsid w:val="001715BA"/>
    <w:rsid w:val="00172989"/>
    <w:rsid w:val="00174405"/>
    <w:rsid w:val="00180F84"/>
    <w:rsid w:val="00187443"/>
    <w:rsid w:val="0019087A"/>
    <w:rsid w:val="00190DFB"/>
    <w:rsid w:val="0019106D"/>
    <w:rsid w:val="001A31F3"/>
    <w:rsid w:val="001B1340"/>
    <w:rsid w:val="001B2F8D"/>
    <w:rsid w:val="001B313E"/>
    <w:rsid w:val="001C2D84"/>
    <w:rsid w:val="001D0E34"/>
    <w:rsid w:val="001D5331"/>
    <w:rsid w:val="001E0FDE"/>
    <w:rsid w:val="001F5CA0"/>
    <w:rsid w:val="00200CC3"/>
    <w:rsid w:val="00201CF6"/>
    <w:rsid w:val="00213920"/>
    <w:rsid w:val="00213977"/>
    <w:rsid w:val="00216F37"/>
    <w:rsid w:val="00217614"/>
    <w:rsid w:val="002229E5"/>
    <w:rsid w:val="00224252"/>
    <w:rsid w:val="00233F7D"/>
    <w:rsid w:val="00240B54"/>
    <w:rsid w:val="00244311"/>
    <w:rsid w:val="00250E9E"/>
    <w:rsid w:val="00253D96"/>
    <w:rsid w:val="00255083"/>
    <w:rsid w:val="00256711"/>
    <w:rsid w:val="00257B02"/>
    <w:rsid w:val="00257D17"/>
    <w:rsid w:val="0026097D"/>
    <w:rsid w:val="00265612"/>
    <w:rsid w:val="00267BDB"/>
    <w:rsid w:val="00267EC9"/>
    <w:rsid w:val="0027424D"/>
    <w:rsid w:val="00283E72"/>
    <w:rsid w:val="00290924"/>
    <w:rsid w:val="0029102E"/>
    <w:rsid w:val="0029154E"/>
    <w:rsid w:val="002925DC"/>
    <w:rsid w:val="002957A0"/>
    <w:rsid w:val="002A3E32"/>
    <w:rsid w:val="002A595A"/>
    <w:rsid w:val="002B407C"/>
    <w:rsid w:val="002B6913"/>
    <w:rsid w:val="002B6C27"/>
    <w:rsid w:val="002B77F3"/>
    <w:rsid w:val="002C4EA7"/>
    <w:rsid w:val="002C7B27"/>
    <w:rsid w:val="002D0100"/>
    <w:rsid w:val="002D07BF"/>
    <w:rsid w:val="002D1ED7"/>
    <w:rsid w:val="002D5470"/>
    <w:rsid w:val="002E0287"/>
    <w:rsid w:val="002E1F1B"/>
    <w:rsid w:val="002E515A"/>
    <w:rsid w:val="002F20FC"/>
    <w:rsid w:val="00307128"/>
    <w:rsid w:val="00316C25"/>
    <w:rsid w:val="00321FDE"/>
    <w:rsid w:val="0032472E"/>
    <w:rsid w:val="003279AB"/>
    <w:rsid w:val="003312AC"/>
    <w:rsid w:val="00351D88"/>
    <w:rsid w:val="0036194B"/>
    <w:rsid w:val="00361A4F"/>
    <w:rsid w:val="003672F1"/>
    <w:rsid w:val="003918A0"/>
    <w:rsid w:val="003955DF"/>
    <w:rsid w:val="00397C2C"/>
    <w:rsid w:val="003A036C"/>
    <w:rsid w:val="003C1B66"/>
    <w:rsid w:val="003C5F5A"/>
    <w:rsid w:val="003C6C6E"/>
    <w:rsid w:val="003D05C4"/>
    <w:rsid w:val="003E1D22"/>
    <w:rsid w:val="003E2839"/>
    <w:rsid w:val="003E2BC5"/>
    <w:rsid w:val="003E4D82"/>
    <w:rsid w:val="003F0410"/>
    <w:rsid w:val="003F470D"/>
    <w:rsid w:val="003F7474"/>
    <w:rsid w:val="00405267"/>
    <w:rsid w:val="004078A1"/>
    <w:rsid w:val="004213C0"/>
    <w:rsid w:val="00421649"/>
    <w:rsid w:val="00421892"/>
    <w:rsid w:val="00423728"/>
    <w:rsid w:val="00432A99"/>
    <w:rsid w:val="00433779"/>
    <w:rsid w:val="00435C6C"/>
    <w:rsid w:val="00437689"/>
    <w:rsid w:val="00444709"/>
    <w:rsid w:val="0045063A"/>
    <w:rsid w:val="0045228C"/>
    <w:rsid w:val="004524B5"/>
    <w:rsid w:val="00453889"/>
    <w:rsid w:val="004551F3"/>
    <w:rsid w:val="0046557C"/>
    <w:rsid w:val="00465DC3"/>
    <w:rsid w:val="00467289"/>
    <w:rsid w:val="00471B85"/>
    <w:rsid w:val="0047203E"/>
    <w:rsid w:val="0048108C"/>
    <w:rsid w:val="00486A87"/>
    <w:rsid w:val="00496093"/>
    <w:rsid w:val="004A5B2E"/>
    <w:rsid w:val="004A6FB8"/>
    <w:rsid w:val="004A7B6F"/>
    <w:rsid w:val="004C68F1"/>
    <w:rsid w:val="004D02AA"/>
    <w:rsid w:val="004D5CCA"/>
    <w:rsid w:val="004D6E00"/>
    <w:rsid w:val="004E0A6F"/>
    <w:rsid w:val="004E1467"/>
    <w:rsid w:val="004E4398"/>
    <w:rsid w:val="004E5978"/>
    <w:rsid w:val="004E66A1"/>
    <w:rsid w:val="004F00EB"/>
    <w:rsid w:val="004F16B8"/>
    <w:rsid w:val="004F1990"/>
    <w:rsid w:val="004F2711"/>
    <w:rsid w:val="004F3038"/>
    <w:rsid w:val="00502CDB"/>
    <w:rsid w:val="00506E8D"/>
    <w:rsid w:val="0051145F"/>
    <w:rsid w:val="0052285D"/>
    <w:rsid w:val="00524D09"/>
    <w:rsid w:val="0052584E"/>
    <w:rsid w:val="0052709C"/>
    <w:rsid w:val="00534346"/>
    <w:rsid w:val="0053525B"/>
    <w:rsid w:val="005543C1"/>
    <w:rsid w:val="00555AE0"/>
    <w:rsid w:val="00562BC6"/>
    <w:rsid w:val="00563FD3"/>
    <w:rsid w:val="00571A83"/>
    <w:rsid w:val="00573052"/>
    <w:rsid w:val="00573EAF"/>
    <w:rsid w:val="00577AC1"/>
    <w:rsid w:val="00582FBC"/>
    <w:rsid w:val="00583113"/>
    <w:rsid w:val="00587DFC"/>
    <w:rsid w:val="00590D03"/>
    <w:rsid w:val="0059421C"/>
    <w:rsid w:val="005A2AD7"/>
    <w:rsid w:val="005A314F"/>
    <w:rsid w:val="005A6752"/>
    <w:rsid w:val="005A7C0F"/>
    <w:rsid w:val="005C11FC"/>
    <w:rsid w:val="005C6778"/>
    <w:rsid w:val="005D5A49"/>
    <w:rsid w:val="005D657E"/>
    <w:rsid w:val="005E4323"/>
    <w:rsid w:val="005E73B6"/>
    <w:rsid w:val="005F038E"/>
    <w:rsid w:val="00605E35"/>
    <w:rsid w:val="0061358D"/>
    <w:rsid w:val="00624FA8"/>
    <w:rsid w:val="006267A6"/>
    <w:rsid w:val="006368CC"/>
    <w:rsid w:val="00642D4F"/>
    <w:rsid w:val="0065097C"/>
    <w:rsid w:val="0065534B"/>
    <w:rsid w:val="006616D7"/>
    <w:rsid w:val="00665E36"/>
    <w:rsid w:val="00665FB8"/>
    <w:rsid w:val="00671FD9"/>
    <w:rsid w:val="00672732"/>
    <w:rsid w:val="006739E3"/>
    <w:rsid w:val="00674FDA"/>
    <w:rsid w:val="00681551"/>
    <w:rsid w:val="006911E5"/>
    <w:rsid w:val="006928CE"/>
    <w:rsid w:val="0069342C"/>
    <w:rsid w:val="006A313F"/>
    <w:rsid w:val="006B2FB6"/>
    <w:rsid w:val="006C644E"/>
    <w:rsid w:val="006D52F8"/>
    <w:rsid w:val="006E17C2"/>
    <w:rsid w:val="0070388E"/>
    <w:rsid w:val="00703DEE"/>
    <w:rsid w:val="00710FDF"/>
    <w:rsid w:val="0071406F"/>
    <w:rsid w:val="00727BA7"/>
    <w:rsid w:val="007450EE"/>
    <w:rsid w:val="00754C1C"/>
    <w:rsid w:val="00757723"/>
    <w:rsid w:val="00763252"/>
    <w:rsid w:val="00784020"/>
    <w:rsid w:val="0078432A"/>
    <w:rsid w:val="007B3461"/>
    <w:rsid w:val="007B4C17"/>
    <w:rsid w:val="007B5442"/>
    <w:rsid w:val="007C0B3C"/>
    <w:rsid w:val="007C1994"/>
    <w:rsid w:val="007C229C"/>
    <w:rsid w:val="007C2D1C"/>
    <w:rsid w:val="007E11F3"/>
    <w:rsid w:val="007E3CD0"/>
    <w:rsid w:val="007E5D15"/>
    <w:rsid w:val="007F0E38"/>
    <w:rsid w:val="00803745"/>
    <w:rsid w:val="00806691"/>
    <w:rsid w:val="00823295"/>
    <w:rsid w:val="0082478B"/>
    <w:rsid w:val="008325FA"/>
    <w:rsid w:val="00835686"/>
    <w:rsid w:val="00852F58"/>
    <w:rsid w:val="0086569B"/>
    <w:rsid w:val="0087696D"/>
    <w:rsid w:val="008873BC"/>
    <w:rsid w:val="00887401"/>
    <w:rsid w:val="0089674B"/>
    <w:rsid w:val="008A4F77"/>
    <w:rsid w:val="008A5177"/>
    <w:rsid w:val="008A77C8"/>
    <w:rsid w:val="008A7FDF"/>
    <w:rsid w:val="008B630E"/>
    <w:rsid w:val="008C4D2F"/>
    <w:rsid w:val="008C7E76"/>
    <w:rsid w:val="008D1C8F"/>
    <w:rsid w:val="008D3AB1"/>
    <w:rsid w:val="008D627A"/>
    <w:rsid w:val="008D6DAF"/>
    <w:rsid w:val="008F08B4"/>
    <w:rsid w:val="00915DC7"/>
    <w:rsid w:val="009300A2"/>
    <w:rsid w:val="00930681"/>
    <w:rsid w:val="00932EB5"/>
    <w:rsid w:val="009363F4"/>
    <w:rsid w:val="00937C96"/>
    <w:rsid w:val="00943631"/>
    <w:rsid w:val="0094684B"/>
    <w:rsid w:val="00951E39"/>
    <w:rsid w:val="00961C1F"/>
    <w:rsid w:val="00963FD7"/>
    <w:rsid w:val="00974455"/>
    <w:rsid w:val="0097625A"/>
    <w:rsid w:val="00991D62"/>
    <w:rsid w:val="00992E9C"/>
    <w:rsid w:val="009A07EE"/>
    <w:rsid w:val="009A1646"/>
    <w:rsid w:val="009A4CB3"/>
    <w:rsid w:val="009A548D"/>
    <w:rsid w:val="009C3258"/>
    <w:rsid w:val="009D2C74"/>
    <w:rsid w:val="009D40F1"/>
    <w:rsid w:val="009D4AC2"/>
    <w:rsid w:val="009E010A"/>
    <w:rsid w:val="009E351B"/>
    <w:rsid w:val="009F7983"/>
    <w:rsid w:val="00A0621A"/>
    <w:rsid w:val="00A20053"/>
    <w:rsid w:val="00A33807"/>
    <w:rsid w:val="00A370EE"/>
    <w:rsid w:val="00A40230"/>
    <w:rsid w:val="00A46EED"/>
    <w:rsid w:val="00A5368C"/>
    <w:rsid w:val="00A541E5"/>
    <w:rsid w:val="00A6388B"/>
    <w:rsid w:val="00A6450C"/>
    <w:rsid w:val="00A6621C"/>
    <w:rsid w:val="00A667AB"/>
    <w:rsid w:val="00A70CA8"/>
    <w:rsid w:val="00A74E45"/>
    <w:rsid w:val="00A86208"/>
    <w:rsid w:val="00A909BD"/>
    <w:rsid w:val="00AA0001"/>
    <w:rsid w:val="00AA33A9"/>
    <w:rsid w:val="00AA5403"/>
    <w:rsid w:val="00AA7233"/>
    <w:rsid w:val="00AB1272"/>
    <w:rsid w:val="00AB29BB"/>
    <w:rsid w:val="00AC3756"/>
    <w:rsid w:val="00AD518B"/>
    <w:rsid w:val="00AD5ADF"/>
    <w:rsid w:val="00AD6A09"/>
    <w:rsid w:val="00AE135F"/>
    <w:rsid w:val="00AE182E"/>
    <w:rsid w:val="00AE1957"/>
    <w:rsid w:val="00AE6467"/>
    <w:rsid w:val="00B01C9B"/>
    <w:rsid w:val="00B109D6"/>
    <w:rsid w:val="00B1596F"/>
    <w:rsid w:val="00B26D75"/>
    <w:rsid w:val="00B27FD3"/>
    <w:rsid w:val="00B3009C"/>
    <w:rsid w:val="00B3133B"/>
    <w:rsid w:val="00B33220"/>
    <w:rsid w:val="00B3553B"/>
    <w:rsid w:val="00B43F9C"/>
    <w:rsid w:val="00B62C32"/>
    <w:rsid w:val="00B65D8B"/>
    <w:rsid w:val="00B73D89"/>
    <w:rsid w:val="00B801CD"/>
    <w:rsid w:val="00B87D24"/>
    <w:rsid w:val="00B951D7"/>
    <w:rsid w:val="00BA61D2"/>
    <w:rsid w:val="00BB27BF"/>
    <w:rsid w:val="00BC53BF"/>
    <w:rsid w:val="00BD3515"/>
    <w:rsid w:val="00BD41F8"/>
    <w:rsid w:val="00BE0857"/>
    <w:rsid w:val="00BF6240"/>
    <w:rsid w:val="00C05E31"/>
    <w:rsid w:val="00C075A6"/>
    <w:rsid w:val="00C130BF"/>
    <w:rsid w:val="00C16B45"/>
    <w:rsid w:val="00C17063"/>
    <w:rsid w:val="00C30E40"/>
    <w:rsid w:val="00C31EEC"/>
    <w:rsid w:val="00C32EB5"/>
    <w:rsid w:val="00C359E3"/>
    <w:rsid w:val="00C46AAF"/>
    <w:rsid w:val="00C52E48"/>
    <w:rsid w:val="00C53BB9"/>
    <w:rsid w:val="00C55B26"/>
    <w:rsid w:val="00C6055D"/>
    <w:rsid w:val="00C71EAE"/>
    <w:rsid w:val="00C7476F"/>
    <w:rsid w:val="00C80E0B"/>
    <w:rsid w:val="00C82B01"/>
    <w:rsid w:val="00C82E6F"/>
    <w:rsid w:val="00C83532"/>
    <w:rsid w:val="00C84198"/>
    <w:rsid w:val="00C90164"/>
    <w:rsid w:val="00C9736A"/>
    <w:rsid w:val="00C97999"/>
    <w:rsid w:val="00CA1C07"/>
    <w:rsid w:val="00CA1D55"/>
    <w:rsid w:val="00CA3DA0"/>
    <w:rsid w:val="00CA3FB4"/>
    <w:rsid w:val="00CA476C"/>
    <w:rsid w:val="00CB26B6"/>
    <w:rsid w:val="00CC4EE6"/>
    <w:rsid w:val="00CD046A"/>
    <w:rsid w:val="00CD35C9"/>
    <w:rsid w:val="00CD7DF2"/>
    <w:rsid w:val="00CE1CCF"/>
    <w:rsid w:val="00CE2029"/>
    <w:rsid w:val="00CE422D"/>
    <w:rsid w:val="00D03B2E"/>
    <w:rsid w:val="00D23A8F"/>
    <w:rsid w:val="00D3026F"/>
    <w:rsid w:val="00D47CA5"/>
    <w:rsid w:val="00D5214B"/>
    <w:rsid w:val="00D569D7"/>
    <w:rsid w:val="00D56AC2"/>
    <w:rsid w:val="00D60822"/>
    <w:rsid w:val="00D82E96"/>
    <w:rsid w:val="00D90610"/>
    <w:rsid w:val="00D91E52"/>
    <w:rsid w:val="00D923FE"/>
    <w:rsid w:val="00D96C8A"/>
    <w:rsid w:val="00DA5F04"/>
    <w:rsid w:val="00DA6474"/>
    <w:rsid w:val="00DB0613"/>
    <w:rsid w:val="00DB5A4F"/>
    <w:rsid w:val="00DC0B27"/>
    <w:rsid w:val="00DC1C68"/>
    <w:rsid w:val="00DC1CDA"/>
    <w:rsid w:val="00DC79E8"/>
    <w:rsid w:val="00DD0BF7"/>
    <w:rsid w:val="00DD5145"/>
    <w:rsid w:val="00DE124C"/>
    <w:rsid w:val="00DF75E7"/>
    <w:rsid w:val="00E05E76"/>
    <w:rsid w:val="00E06388"/>
    <w:rsid w:val="00E11791"/>
    <w:rsid w:val="00E139C9"/>
    <w:rsid w:val="00E14B13"/>
    <w:rsid w:val="00E21444"/>
    <w:rsid w:val="00E229D1"/>
    <w:rsid w:val="00E26802"/>
    <w:rsid w:val="00E31E45"/>
    <w:rsid w:val="00E403AC"/>
    <w:rsid w:val="00E438D2"/>
    <w:rsid w:val="00E52916"/>
    <w:rsid w:val="00E57AB4"/>
    <w:rsid w:val="00E718DD"/>
    <w:rsid w:val="00E720A9"/>
    <w:rsid w:val="00E82F4F"/>
    <w:rsid w:val="00E91A8C"/>
    <w:rsid w:val="00E958DE"/>
    <w:rsid w:val="00EA1A3A"/>
    <w:rsid w:val="00EA3BCB"/>
    <w:rsid w:val="00EA4292"/>
    <w:rsid w:val="00EB2E5D"/>
    <w:rsid w:val="00ED3EF6"/>
    <w:rsid w:val="00ED4AE9"/>
    <w:rsid w:val="00ED4CA9"/>
    <w:rsid w:val="00ED7F0C"/>
    <w:rsid w:val="00EE001C"/>
    <w:rsid w:val="00EE71E9"/>
    <w:rsid w:val="00EF0F49"/>
    <w:rsid w:val="00F053D6"/>
    <w:rsid w:val="00F07DCB"/>
    <w:rsid w:val="00F2734E"/>
    <w:rsid w:val="00F27F1F"/>
    <w:rsid w:val="00F332BD"/>
    <w:rsid w:val="00F3493C"/>
    <w:rsid w:val="00F37131"/>
    <w:rsid w:val="00F424DA"/>
    <w:rsid w:val="00F431B4"/>
    <w:rsid w:val="00F4784F"/>
    <w:rsid w:val="00F47D3D"/>
    <w:rsid w:val="00F50841"/>
    <w:rsid w:val="00F50EBB"/>
    <w:rsid w:val="00F54830"/>
    <w:rsid w:val="00F57AC9"/>
    <w:rsid w:val="00F74AAB"/>
    <w:rsid w:val="00F766C0"/>
    <w:rsid w:val="00F84C70"/>
    <w:rsid w:val="00F9067C"/>
    <w:rsid w:val="00F9511E"/>
    <w:rsid w:val="00F97CC9"/>
    <w:rsid w:val="00FB6712"/>
    <w:rsid w:val="00FC5612"/>
    <w:rsid w:val="00FE2A0D"/>
    <w:rsid w:val="00FE34B1"/>
    <w:rsid w:val="00FE5615"/>
    <w:rsid w:val="00FE7292"/>
    <w:rsid w:val="00FF1647"/>
    <w:rsid w:val="00FF1F41"/>
    <w:rsid w:val="00FF73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E17B6"/>
  <w15:chartTrackingRefBased/>
  <w15:docId w15:val="{85A6CB62-9A06-483A-8DDC-BD6114F9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86208"/>
    <w:pPr>
      <w:keepNext/>
      <w:keepLines/>
      <w:numPr>
        <w:numId w:val="9"/>
      </w:numPr>
      <w:spacing w:before="240" w:after="0"/>
      <w:outlineLvl w:val="0"/>
    </w:pPr>
    <w:rPr>
      <w:rFonts w:asciiTheme="majorHAnsi" w:eastAsiaTheme="majorEastAsia" w:hAnsiTheme="majorHAnsi" w:cstheme="majorBidi"/>
      <w:sz w:val="32"/>
      <w:szCs w:val="32"/>
    </w:rPr>
  </w:style>
  <w:style w:type="paragraph" w:styleId="Titre2">
    <w:name w:val="heading 2"/>
    <w:basedOn w:val="Titre1"/>
    <w:next w:val="Normal"/>
    <w:link w:val="Titre2Car"/>
    <w:uiPriority w:val="9"/>
    <w:unhideWhenUsed/>
    <w:qFormat/>
    <w:rsid w:val="00B801CD"/>
    <w:pPr>
      <w:numPr>
        <w:ilvl w:val="1"/>
      </w:numPr>
      <w:outlineLvl w:val="1"/>
    </w:pPr>
    <w:rPr>
      <w:sz w:val="28"/>
      <w:szCs w:val="28"/>
    </w:rPr>
  </w:style>
  <w:style w:type="paragraph" w:styleId="Titre3">
    <w:name w:val="heading 3"/>
    <w:basedOn w:val="Titre1"/>
    <w:next w:val="Normal"/>
    <w:link w:val="Titre3Car"/>
    <w:uiPriority w:val="9"/>
    <w:unhideWhenUsed/>
    <w:qFormat/>
    <w:rsid w:val="00B801CD"/>
    <w:pPr>
      <w:numPr>
        <w:ilvl w:val="2"/>
      </w:numPr>
      <w:outlineLvl w:val="2"/>
    </w:pPr>
    <w:rPr>
      <w:sz w:val="26"/>
      <w:szCs w:val="26"/>
    </w:rPr>
  </w:style>
  <w:style w:type="paragraph" w:styleId="Titre4">
    <w:name w:val="heading 4"/>
    <w:basedOn w:val="Titre3"/>
    <w:next w:val="Normal"/>
    <w:link w:val="Titre4Car"/>
    <w:uiPriority w:val="9"/>
    <w:unhideWhenUsed/>
    <w:qFormat/>
    <w:rsid w:val="00B1596F"/>
    <w:pPr>
      <w:numPr>
        <w:ilvl w:val="3"/>
      </w:numPr>
      <w:spacing w:before="40"/>
      <w:outlineLvl w:val="3"/>
    </w:pPr>
    <w:rPr>
      <w:iCs/>
      <w:color w:val="000000" w:themeColor="text1"/>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6208"/>
    <w:rPr>
      <w:rFonts w:asciiTheme="majorHAnsi" w:eastAsiaTheme="majorEastAsia" w:hAnsiTheme="majorHAnsi" w:cstheme="majorBidi"/>
      <w:sz w:val="32"/>
      <w:szCs w:val="32"/>
    </w:rPr>
  </w:style>
  <w:style w:type="paragraph" w:styleId="Titre">
    <w:name w:val="Title"/>
    <w:basedOn w:val="Normal"/>
    <w:next w:val="Normal"/>
    <w:link w:val="TitreCar"/>
    <w:uiPriority w:val="10"/>
    <w:qFormat/>
    <w:rsid w:val="007B34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3461"/>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B801CD"/>
    <w:rPr>
      <w:rFonts w:asciiTheme="majorHAnsi" w:eastAsiaTheme="majorEastAsia" w:hAnsiTheme="majorHAnsi" w:cstheme="majorBidi"/>
      <w:sz w:val="28"/>
      <w:szCs w:val="28"/>
    </w:rPr>
  </w:style>
  <w:style w:type="paragraph" w:styleId="En-ttedetabledesmatires">
    <w:name w:val="TOC Heading"/>
    <w:basedOn w:val="Titre1"/>
    <w:next w:val="Normal"/>
    <w:uiPriority w:val="39"/>
    <w:unhideWhenUsed/>
    <w:qFormat/>
    <w:rsid w:val="000505C3"/>
    <w:pPr>
      <w:numPr>
        <w:numId w:val="0"/>
      </w:numPr>
      <w:outlineLvl w:val="9"/>
    </w:pPr>
    <w:rPr>
      <w:color w:val="2E74B5" w:themeColor="accent1" w:themeShade="BF"/>
      <w:lang w:eastAsia="fr-FR"/>
    </w:rPr>
  </w:style>
  <w:style w:type="paragraph" w:styleId="TM1">
    <w:name w:val="toc 1"/>
    <w:basedOn w:val="Normal"/>
    <w:next w:val="Normal"/>
    <w:autoRedefine/>
    <w:uiPriority w:val="39"/>
    <w:unhideWhenUsed/>
    <w:rsid w:val="000505C3"/>
    <w:pPr>
      <w:spacing w:after="100"/>
    </w:pPr>
  </w:style>
  <w:style w:type="paragraph" w:styleId="TM2">
    <w:name w:val="toc 2"/>
    <w:basedOn w:val="Normal"/>
    <w:next w:val="Normal"/>
    <w:autoRedefine/>
    <w:uiPriority w:val="39"/>
    <w:unhideWhenUsed/>
    <w:rsid w:val="000505C3"/>
    <w:pPr>
      <w:spacing w:after="100"/>
      <w:ind w:left="220"/>
    </w:pPr>
  </w:style>
  <w:style w:type="character" w:styleId="Lienhypertexte">
    <w:name w:val="Hyperlink"/>
    <w:basedOn w:val="Policepardfaut"/>
    <w:uiPriority w:val="99"/>
    <w:unhideWhenUsed/>
    <w:rsid w:val="000505C3"/>
    <w:rPr>
      <w:color w:val="0563C1" w:themeColor="hyperlink"/>
      <w:u w:val="single"/>
    </w:rPr>
  </w:style>
  <w:style w:type="character" w:customStyle="1" w:styleId="Titre3Car">
    <w:name w:val="Titre 3 Car"/>
    <w:basedOn w:val="Policepardfaut"/>
    <w:link w:val="Titre3"/>
    <w:uiPriority w:val="9"/>
    <w:rsid w:val="00B801CD"/>
    <w:rPr>
      <w:rFonts w:asciiTheme="majorHAnsi" w:eastAsiaTheme="majorEastAsia" w:hAnsiTheme="majorHAnsi" w:cstheme="majorBidi"/>
      <w:sz w:val="26"/>
      <w:szCs w:val="26"/>
    </w:rPr>
  </w:style>
  <w:style w:type="character" w:styleId="Marquedecommentaire">
    <w:name w:val="annotation reference"/>
    <w:basedOn w:val="Policepardfaut"/>
    <w:uiPriority w:val="99"/>
    <w:semiHidden/>
    <w:unhideWhenUsed/>
    <w:rsid w:val="00A86208"/>
    <w:rPr>
      <w:sz w:val="16"/>
      <w:szCs w:val="16"/>
    </w:rPr>
  </w:style>
  <w:style w:type="paragraph" w:styleId="Commentaire">
    <w:name w:val="annotation text"/>
    <w:basedOn w:val="Normal"/>
    <w:link w:val="CommentaireCar"/>
    <w:uiPriority w:val="99"/>
    <w:unhideWhenUsed/>
    <w:rsid w:val="00A86208"/>
    <w:pPr>
      <w:spacing w:line="240" w:lineRule="auto"/>
    </w:pPr>
    <w:rPr>
      <w:sz w:val="20"/>
      <w:szCs w:val="20"/>
    </w:rPr>
  </w:style>
  <w:style w:type="character" w:customStyle="1" w:styleId="CommentaireCar">
    <w:name w:val="Commentaire Car"/>
    <w:basedOn w:val="Policepardfaut"/>
    <w:link w:val="Commentaire"/>
    <w:uiPriority w:val="99"/>
    <w:rsid w:val="00A86208"/>
    <w:rPr>
      <w:sz w:val="20"/>
      <w:szCs w:val="20"/>
    </w:rPr>
  </w:style>
  <w:style w:type="paragraph" w:styleId="Objetducommentaire">
    <w:name w:val="annotation subject"/>
    <w:basedOn w:val="Commentaire"/>
    <w:next w:val="Commentaire"/>
    <w:link w:val="ObjetducommentaireCar"/>
    <w:uiPriority w:val="99"/>
    <w:semiHidden/>
    <w:unhideWhenUsed/>
    <w:rsid w:val="00A86208"/>
    <w:rPr>
      <w:b/>
      <w:bCs/>
    </w:rPr>
  </w:style>
  <w:style w:type="character" w:customStyle="1" w:styleId="ObjetducommentaireCar">
    <w:name w:val="Objet du commentaire Car"/>
    <w:basedOn w:val="CommentaireCar"/>
    <w:link w:val="Objetducommentaire"/>
    <w:uiPriority w:val="99"/>
    <w:semiHidden/>
    <w:rsid w:val="00A86208"/>
    <w:rPr>
      <w:b/>
      <w:bCs/>
      <w:sz w:val="20"/>
      <w:szCs w:val="20"/>
    </w:rPr>
  </w:style>
  <w:style w:type="paragraph" w:styleId="Textedebulles">
    <w:name w:val="Balloon Text"/>
    <w:basedOn w:val="Normal"/>
    <w:link w:val="TextedebullesCar"/>
    <w:uiPriority w:val="99"/>
    <w:semiHidden/>
    <w:unhideWhenUsed/>
    <w:rsid w:val="00A862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86208"/>
    <w:rPr>
      <w:rFonts w:ascii="Segoe UI" w:hAnsi="Segoe UI" w:cs="Segoe UI"/>
      <w:sz w:val="18"/>
      <w:szCs w:val="18"/>
    </w:rPr>
  </w:style>
  <w:style w:type="paragraph" w:styleId="Notedebasdepage">
    <w:name w:val="footnote text"/>
    <w:basedOn w:val="Normal"/>
    <w:link w:val="NotedebasdepageCar"/>
    <w:uiPriority w:val="99"/>
    <w:semiHidden/>
    <w:unhideWhenUsed/>
    <w:rsid w:val="00A8620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86208"/>
    <w:rPr>
      <w:sz w:val="20"/>
      <w:szCs w:val="20"/>
    </w:rPr>
  </w:style>
  <w:style w:type="character" w:styleId="Appelnotedebasdep">
    <w:name w:val="footnote reference"/>
    <w:basedOn w:val="Policepardfaut"/>
    <w:uiPriority w:val="99"/>
    <w:semiHidden/>
    <w:unhideWhenUsed/>
    <w:rsid w:val="00A86208"/>
    <w:rPr>
      <w:vertAlign w:val="superscript"/>
    </w:rPr>
  </w:style>
  <w:style w:type="paragraph" w:styleId="TM3">
    <w:name w:val="toc 3"/>
    <w:basedOn w:val="Normal"/>
    <w:next w:val="Normal"/>
    <w:autoRedefine/>
    <w:uiPriority w:val="39"/>
    <w:unhideWhenUsed/>
    <w:rsid w:val="00A86208"/>
    <w:pPr>
      <w:spacing w:after="100"/>
      <w:ind w:left="440"/>
    </w:pPr>
  </w:style>
  <w:style w:type="paragraph" w:styleId="En-tte">
    <w:name w:val="header"/>
    <w:basedOn w:val="Normal"/>
    <w:link w:val="En-tteCar"/>
    <w:uiPriority w:val="99"/>
    <w:unhideWhenUsed/>
    <w:rsid w:val="00DC0B27"/>
    <w:pPr>
      <w:tabs>
        <w:tab w:val="center" w:pos="4536"/>
        <w:tab w:val="right" w:pos="9072"/>
      </w:tabs>
      <w:spacing w:after="0" w:line="240" w:lineRule="auto"/>
    </w:pPr>
  </w:style>
  <w:style w:type="character" w:customStyle="1" w:styleId="En-tteCar">
    <w:name w:val="En-tête Car"/>
    <w:basedOn w:val="Policepardfaut"/>
    <w:link w:val="En-tte"/>
    <w:uiPriority w:val="99"/>
    <w:rsid w:val="00DC0B27"/>
  </w:style>
  <w:style w:type="paragraph" w:styleId="Pieddepage">
    <w:name w:val="footer"/>
    <w:basedOn w:val="Normal"/>
    <w:link w:val="PieddepageCar"/>
    <w:uiPriority w:val="99"/>
    <w:unhideWhenUsed/>
    <w:rsid w:val="00DC0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0B27"/>
  </w:style>
  <w:style w:type="paragraph" w:styleId="Lgende">
    <w:name w:val="caption"/>
    <w:basedOn w:val="Normal"/>
    <w:next w:val="Normal"/>
    <w:uiPriority w:val="35"/>
    <w:unhideWhenUsed/>
    <w:qFormat/>
    <w:rsid w:val="00852F58"/>
    <w:pPr>
      <w:spacing w:after="200" w:line="240" w:lineRule="auto"/>
    </w:pPr>
    <w:rPr>
      <w:i/>
      <w:iCs/>
      <w:color w:val="44546A" w:themeColor="text2"/>
      <w:sz w:val="18"/>
      <w:szCs w:val="18"/>
    </w:rPr>
  </w:style>
  <w:style w:type="paragraph" w:styleId="Paragraphedeliste">
    <w:name w:val="List Paragraph"/>
    <w:basedOn w:val="Normal"/>
    <w:uiPriority w:val="34"/>
    <w:qFormat/>
    <w:rsid w:val="003279AB"/>
    <w:pPr>
      <w:ind w:left="720"/>
      <w:contextualSpacing/>
    </w:pPr>
  </w:style>
  <w:style w:type="character" w:styleId="Textedelespacerserv">
    <w:name w:val="Placeholder Text"/>
    <w:basedOn w:val="Policepardfaut"/>
    <w:uiPriority w:val="99"/>
    <w:semiHidden/>
    <w:rsid w:val="006928CE"/>
    <w:rPr>
      <w:color w:val="808080"/>
    </w:rPr>
  </w:style>
  <w:style w:type="character" w:customStyle="1" w:styleId="Titre4Car">
    <w:name w:val="Titre 4 Car"/>
    <w:basedOn w:val="Policepardfaut"/>
    <w:link w:val="Titre4"/>
    <w:uiPriority w:val="9"/>
    <w:rsid w:val="00B1596F"/>
    <w:rPr>
      <w:rFonts w:asciiTheme="majorHAnsi" w:eastAsiaTheme="majorEastAsia" w:hAnsiTheme="majorHAnsi" w:cstheme="majorBidi"/>
      <w:iCs/>
      <w:color w:val="000000" w:themeColor="text1"/>
      <w:sz w:val="24"/>
      <w:szCs w:val="26"/>
    </w:rPr>
  </w:style>
  <w:style w:type="character" w:styleId="CitationHTML">
    <w:name w:val="HTML Cite"/>
    <w:basedOn w:val="Policepardfaut"/>
    <w:uiPriority w:val="99"/>
    <w:semiHidden/>
    <w:unhideWhenUsed/>
    <w:rsid w:val="00A74E45"/>
    <w:rPr>
      <w:i/>
      <w:iCs/>
    </w:rPr>
  </w:style>
  <w:style w:type="character" w:customStyle="1" w:styleId="cs1-format">
    <w:name w:val="cs1-format"/>
    <w:basedOn w:val="Policepardfaut"/>
    <w:rsid w:val="00A74E45"/>
  </w:style>
  <w:style w:type="paragraph" w:styleId="Bibliographie">
    <w:name w:val="Bibliography"/>
    <w:basedOn w:val="Normal"/>
    <w:next w:val="Normal"/>
    <w:uiPriority w:val="37"/>
    <w:semiHidden/>
    <w:unhideWhenUsed/>
    <w:rsid w:val="00244311"/>
  </w:style>
  <w:style w:type="paragraph" w:customStyle="1" w:styleId="biblio">
    <w:name w:val="biblio"/>
    <w:basedOn w:val="Normal"/>
    <w:link w:val="biblioCar"/>
    <w:qFormat/>
    <w:rsid w:val="0029102E"/>
    <w:pPr>
      <w:autoSpaceDE w:val="0"/>
      <w:autoSpaceDN w:val="0"/>
      <w:adjustRightInd w:val="0"/>
      <w:spacing w:after="0" w:line="240" w:lineRule="auto"/>
    </w:pPr>
    <w:rPr>
      <w:rFonts w:eastAsiaTheme="minorHAnsi"/>
      <w:lang w:val="en-US"/>
    </w:rPr>
  </w:style>
  <w:style w:type="character" w:customStyle="1" w:styleId="biblioCar">
    <w:name w:val="biblio Car"/>
    <w:basedOn w:val="Policepardfaut"/>
    <w:link w:val="biblio"/>
    <w:rsid w:val="0029102E"/>
    <w:rPr>
      <w:rFonts w:eastAsiaTheme="minorHAnsi"/>
      <w:lang w:val="en-US"/>
    </w:rPr>
  </w:style>
  <w:style w:type="paragraph" w:styleId="NormalWeb">
    <w:name w:val="Normal (Web)"/>
    <w:basedOn w:val="Normal"/>
    <w:uiPriority w:val="99"/>
    <w:unhideWhenUsed/>
    <w:rsid w:val="006267A6"/>
    <w:pPr>
      <w:spacing w:before="100" w:beforeAutospacing="1" w:after="100" w:afterAutospacing="1" w:line="240" w:lineRule="auto"/>
      <w:jc w:val="both"/>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363444">
      <w:bodyDiv w:val="1"/>
      <w:marLeft w:val="0"/>
      <w:marRight w:val="0"/>
      <w:marTop w:val="0"/>
      <w:marBottom w:val="0"/>
      <w:divBdr>
        <w:top w:val="none" w:sz="0" w:space="0" w:color="auto"/>
        <w:left w:val="none" w:sz="0" w:space="0" w:color="auto"/>
        <w:bottom w:val="none" w:sz="0" w:space="0" w:color="auto"/>
        <w:right w:val="none" w:sz="0" w:space="0" w:color="auto"/>
      </w:divBdr>
    </w:div>
    <w:div w:id="692926102">
      <w:bodyDiv w:val="1"/>
      <w:marLeft w:val="0"/>
      <w:marRight w:val="0"/>
      <w:marTop w:val="0"/>
      <w:marBottom w:val="0"/>
      <w:divBdr>
        <w:top w:val="none" w:sz="0" w:space="0" w:color="auto"/>
        <w:left w:val="none" w:sz="0" w:space="0" w:color="auto"/>
        <w:bottom w:val="none" w:sz="0" w:space="0" w:color="auto"/>
        <w:right w:val="none" w:sz="0" w:space="0" w:color="auto"/>
      </w:divBdr>
      <w:divsChild>
        <w:div w:id="1907491878">
          <w:marLeft w:val="0"/>
          <w:marRight w:val="0"/>
          <w:marTop w:val="0"/>
          <w:marBottom w:val="0"/>
          <w:divBdr>
            <w:top w:val="none" w:sz="0" w:space="0" w:color="auto"/>
            <w:left w:val="none" w:sz="0" w:space="0" w:color="auto"/>
            <w:bottom w:val="none" w:sz="0" w:space="0" w:color="auto"/>
            <w:right w:val="none" w:sz="0" w:space="0" w:color="auto"/>
          </w:divBdr>
          <w:divsChild>
            <w:div w:id="609438825">
              <w:marLeft w:val="0"/>
              <w:marRight w:val="0"/>
              <w:marTop w:val="0"/>
              <w:marBottom w:val="0"/>
              <w:divBdr>
                <w:top w:val="none" w:sz="0" w:space="0" w:color="auto"/>
                <w:left w:val="none" w:sz="0" w:space="0" w:color="auto"/>
                <w:bottom w:val="none" w:sz="0" w:space="0" w:color="auto"/>
                <w:right w:val="none" w:sz="0" w:space="0" w:color="auto"/>
              </w:divBdr>
              <w:divsChild>
                <w:div w:id="10475354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41172126">
      <w:bodyDiv w:val="1"/>
      <w:marLeft w:val="0"/>
      <w:marRight w:val="0"/>
      <w:marTop w:val="0"/>
      <w:marBottom w:val="0"/>
      <w:divBdr>
        <w:top w:val="none" w:sz="0" w:space="0" w:color="auto"/>
        <w:left w:val="none" w:sz="0" w:space="0" w:color="auto"/>
        <w:bottom w:val="none" w:sz="0" w:space="0" w:color="auto"/>
        <w:right w:val="none" w:sz="0" w:space="0" w:color="auto"/>
      </w:divBdr>
    </w:div>
    <w:div w:id="887953430">
      <w:bodyDiv w:val="1"/>
      <w:marLeft w:val="0"/>
      <w:marRight w:val="0"/>
      <w:marTop w:val="0"/>
      <w:marBottom w:val="0"/>
      <w:divBdr>
        <w:top w:val="none" w:sz="0" w:space="0" w:color="auto"/>
        <w:left w:val="none" w:sz="0" w:space="0" w:color="auto"/>
        <w:bottom w:val="none" w:sz="0" w:space="0" w:color="auto"/>
        <w:right w:val="none" w:sz="0" w:space="0" w:color="auto"/>
      </w:divBdr>
      <w:divsChild>
        <w:div w:id="1085345617">
          <w:marLeft w:val="0"/>
          <w:marRight w:val="0"/>
          <w:marTop w:val="0"/>
          <w:marBottom w:val="0"/>
          <w:divBdr>
            <w:top w:val="none" w:sz="0" w:space="0" w:color="auto"/>
            <w:left w:val="none" w:sz="0" w:space="0" w:color="auto"/>
            <w:bottom w:val="none" w:sz="0" w:space="0" w:color="auto"/>
            <w:right w:val="none" w:sz="0" w:space="0" w:color="auto"/>
          </w:divBdr>
          <w:divsChild>
            <w:div w:id="235018810">
              <w:marLeft w:val="0"/>
              <w:marRight w:val="0"/>
              <w:marTop w:val="0"/>
              <w:marBottom w:val="0"/>
              <w:divBdr>
                <w:top w:val="none" w:sz="0" w:space="0" w:color="auto"/>
                <w:left w:val="none" w:sz="0" w:space="0" w:color="auto"/>
                <w:bottom w:val="none" w:sz="0" w:space="0" w:color="auto"/>
                <w:right w:val="none" w:sz="0" w:space="0" w:color="auto"/>
              </w:divBdr>
              <w:divsChild>
                <w:div w:id="1498320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16944068">
      <w:bodyDiv w:val="1"/>
      <w:marLeft w:val="0"/>
      <w:marRight w:val="0"/>
      <w:marTop w:val="0"/>
      <w:marBottom w:val="0"/>
      <w:divBdr>
        <w:top w:val="none" w:sz="0" w:space="0" w:color="auto"/>
        <w:left w:val="none" w:sz="0" w:space="0" w:color="auto"/>
        <w:bottom w:val="none" w:sz="0" w:space="0" w:color="auto"/>
        <w:right w:val="none" w:sz="0" w:space="0" w:color="auto"/>
      </w:divBdr>
      <w:divsChild>
        <w:div w:id="1322467307">
          <w:marLeft w:val="0"/>
          <w:marRight w:val="0"/>
          <w:marTop w:val="0"/>
          <w:marBottom w:val="0"/>
          <w:divBdr>
            <w:top w:val="none" w:sz="0" w:space="0" w:color="auto"/>
            <w:left w:val="none" w:sz="0" w:space="0" w:color="auto"/>
            <w:bottom w:val="none" w:sz="0" w:space="0" w:color="auto"/>
            <w:right w:val="none" w:sz="0" w:space="0" w:color="auto"/>
          </w:divBdr>
          <w:divsChild>
            <w:div w:id="1137338024">
              <w:marLeft w:val="0"/>
              <w:marRight w:val="0"/>
              <w:marTop w:val="0"/>
              <w:marBottom w:val="0"/>
              <w:divBdr>
                <w:top w:val="none" w:sz="0" w:space="0" w:color="auto"/>
                <w:left w:val="none" w:sz="0" w:space="0" w:color="auto"/>
                <w:bottom w:val="none" w:sz="0" w:space="0" w:color="auto"/>
                <w:right w:val="none" w:sz="0" w:space="0" w:color="auto"/>
              </w:divBdr>
              <w:divsChild>
                <w:div w:id="1951174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78910044">
      <w:bodyDiv w:val="1"/>
      <w:marLeft w:val="0"/>
      <w:marRight w:val="0"/>
      <w:marTop w:val="0"/>
      <w:marBottom w:val="0"/>
      <w:divBdr>
        <w:top w:val="none" w:sz="0" w:space="0" w:color="auto"/>
        <w:left w:val="none" w:sz="0" w:space="0" w:color="auto"/>
        <w:bottom w:val="none" w:sz="0" w:space="0" w:color="auto"/>
        <w:right w:val="none" w:sz="0" w:space="0" w:color="auto"/>
      </w:divBdr>
      <w:divsChild>
        <w:div w:id="430198602">
          <w:marLeft w:val="0"/>
          <w:marRight w:val="0"/>
          <w:marTop w:val="0"/>
          <w:marBottom w:val="0"/>
          <w:divBdr>
            <w:top w:val="none" w:sz="0" w:space="0" w:color="auto"/>
            <w:left w:val="none" w:sz="0" w:space="0" w:color="auto"/>
            <w:bottom w:val="none" w:sz="0" w:space="0" w:color="auto"/>
            <w:right w:val="none" w:sz="0" w:space="0" w:color="auto"/>
          </w:divBdr>
          <w:divsChild>
            <w:div w:id="1915427269">
              <w:marLeft w:val="0"/>
              <w:marRight w:val="0"/>
              <w:marTop w:val="0"/>
              <w:marBottom w:val="0"/>
              <w:divBdr>
                <w:top w:val="none" w:sz="0" w:space="0" w:color="auto"/>
                <w:left w:val="none" w:sz="0" w:space="0" w:color="auto"/>
                <w:bottom w:val="none" w:sz="0" w:space="0" w:color="auto"/>
                <w:right w:val="none" w:sz="0" w:space="0" w:color="auto"/>
              </w:divBdr>
              <w:divsChild>
                <w:div w:id="1377237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31950704">
      <w:bodyDiv w:val="1"/>
      <w:marLeft w:val="0"/>
      <w:marRight w:val="0"/>
      <w:marTop w:val="0"/>
      <w:marBottom w:val="0"/>
      <w:divBdr>
        <w:top w:val="none" w:sz="0" w:space="0" w:color="auto"/>
        <w:left w:val="none" w:sz="0" w:space="0" w:color="auto"/>
        <w:bottom w:val="none" w:sz="0" w:space="0" w:color="auto"/>
        <w:right w:val="none" w:sz="0" w:space="0" w:color="auto"/>
      </w:divBdr>
      <w:divsChild>
        <w:div w:id="2013069632">
          <w:marLeft w:val="0"/>
          <w:marRight w:val="0"/>
          <w:marTop w:val="0"/>
          <w:marBottom w:val="0"/>
          <w:divBdr>
            <w:top w:val="none" w:sz="0" w:space="0" w:color="auto"/>
            <w:left w:val="none" w:sz="0" w:space="0" w:color="auto"/>
            <w:bottom w:val="none" w:sz="0" w:space="0" w:color="auto"/>
            <w:right w:val="none" w:sz="0" w:space="0" w:color="auto"/>
          </w:divBdr>
          <w:divsChild>
            <w:div w:id="1454403281">
              <w:marLeft w:val="0"/>
              <w:marRight w:val="0"/>
              <w:marTop w:val="0"/>
              <w:marBottom w:val="0"/>
              <w:divBdr>
                <w:top w:val="none" w:sz="0" w:space="0" w:color="auto"/>
                <w:left w:val="none" w:sz="0" w:space="0" w:color="auto"/>
                <w:bottom w:val="none" w:sz="0" w:space="0" w:color="auto"/>
                <w:right w:val="none" w:sz="0" w:space="0" w:color="auto"/>
              </w:divBdr>
              <w:divsChild>
                <w:div w:id="215140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13471520">
      <w:bodyDiv w:val="1"/>
      <w:marLeft w:val="0"/>
      <w:marRight w:val="0"/>
      <w:marTop w:val="0"/>
      <w:marBottom w:val="0"/>
      <w:divBdr>
        <w:top w:val="none" w:sz="0" w:space="0" w:color="auto"/>
        <w:left w:val="none" w:sz="0" w:space="0" w:color="auto"/>
        <w:bottom w:val="none" w:sz="0" w:space="0" w:color="auto"/>
        <w:right w:val="none" w:sz="0" w:space="0" w:color="auto"/>
      </w:divBdr>
      <w:divsChild>
        <w:div w:id="127823176">
          <w:marLeft w:val="0"/>
          <w:marRight w:val="0"/>
          <w:marTop w:val="0"/>
          <w:marBottom w:val="0"/>
          <w:divBdr>
            <w:top w:val="none" w:sz="0" w:space="0" w:color="auto"/>
            <w:left w:val="none" w:sz="0" w:space="0" w:color="auto"/>
            <w:bottom w:val="none" w:sz="0" w:space="0" w:color="auto"/>
            <w:right w:val="none" w:sz="0" w:space="0" w:color="auto"/>
          </w:divBdr>
          <w:divsChild>
            <w:div w:id="115612187">
              <w:marLeft w:val="0"/>
              <w:marRight w:val="0"/>
              <w:marTop w:val="0"/>
              <w:marBottom w:val="0"/>
              <w:divBdr>
                <w:top w:val="none" w:sz="0" w:space="0" w:color="auto"/>
                <w:left w:val="none" w:sz="0" w:space="0" w:color="auto"/>
                <w:bottom w:val="none" w:sz="0" w:space="0" w:color="auto"/>
                <w:right w:val="none" w:sz="0" w:space="0" w:color="auto"/>
              </w:divBdr>
              <w:divsChild>
                <w:div w:id="3205489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doi.org/10.1109/ACCESS.2020.2977167" TargetMode="External"/><Relationship Id="rId3" Type="http://schemas.openxmlformats.org/officeDocument/2006/relationships/hyperlink" Target="https://ieeexplore.ieee.org/abstract/document/32276/" TargetMode="External"/><Relationship Id="rId7" Type="http://schemas.openxmlformats.org/officeDocument/2006/relationships/hyperlink" Target="https://doi.org/10.1109/ACCESS.2020.2977167" TargetMode="External"/><Relationship Id="rId2" Type="http://schemas.openxmlformats.org/officeDocument/2006/relationships/hyperlink" Target="https://apps.dtic.mil/sti/pdfs/ADA347296.pdf" TargetMode="External"/><Relationship Id="rId1" Type="http://schemas.openxmlformats.org/officeDocument/2006/relationships/hyperlink" Target="https://doi.org/10.1049/iet-rsn.2019.0465" TargetMode="External"/><Relationship Id="rId6" Type="http://schemas.openxmlformats.org/officeDocument/2006/relationships/hyperlink" Target="https://doi.org/10.1109/ACCESS.2020.2977167" TargetMode="External"/><Relationship Id="rId5" Type="http://schemas.openxmlformats.org/officeDocument/2006/relationships/hyperlink" Target="https://doi.org/10.1049/iet-map.2014.0207" TargetMode="External"/><Relationship Id="rId10" Type="http://schemas.openxmlformats.org/officeDocument/2006/relationships/hyperlink" Target="https://doi.org/10.1109/ACCESS.2020.2977167" TargetMode="External"/><Relationship Id="rId4" Type="http://schemas.openxmlformats.org/officeDocument/2006/relationships/hyperlink" Target="https://doi.org/10.1109/EUMA.1979.332681" TargetMode="External"/><Relationship Id="rId9" Type="http://schemas.openxmlformats.org/officeDocument/2006/relationships/hyperlink" Target="https://doi.org/10.1109/ACCESS.2020.2977167"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microsoft.com/office/2011/relationships/people" Target="people.xml"/><Relationship Id="rId8" Type="http://schemas.openxmlformats.org/officeDocument/2006/relationships/comments" Target="commen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 w:name="CMR12">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90C"/>
    <w:rsid w:val="006C49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C49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xmlns="http://schemas.openxmlformats.org/officeDocument/2006/bibliography">
    <b:Tag>Espace_réservé1</b:Tag>
    <b:RefOrder>1</b:RefOrder>
  </b:Source>
  <b:Source xmlns:b="http://schemas.openxmlformats.org/officeDocument/2006/bibliography" xmlns="http://schemas.openxmlformats.org/officeDocument/2006/bibliography">
    <b:Tag>Espace_réservé2</b:Tag>
    <b:RefOrder>2</b:RefOrder>
  </b:Source>
</b:Sources>
</file>

<file path=customXml/itemProps1.xml><?xml version="1.0" encoding="utf-8"?>
<ds:datastoreItem xmlns:ds="http://schemas.openxmlformats.org/officeDocument/2006/customXml" ds:itemID="{3388F0C6-4C2E-44D4-AC06-1A7550636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38453</TotalTime>
  <Pages>32</Pages>
  <Words>9416</Words>
  <Characters>51793</Characters>
  <Application>Microsoft Office Word</Application>
  <DocSecurity>0</DocSecurity>
  <Lines>431</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HAREL</dc:creator>
  <cp:keywords/>
  <dc:description/>
  <cp:lastModifiedBy>Julien HAREL</cp:lastModifiedBy>
  <cp:revision>351</cp:revision>
  <dcterms:created xsi:type="dcterms:W3CDTF">2022-02-17T11:25:00Z</dcterms:created>
  <dcterms:modified xsi:type="dcterms:W3CDTF">2022-05-31T15:49:00Z</dcterms:modified>
</cp:coreProperties>
</file>