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E3E8" w14:textId="41D8B8B9" w:rsidR="00DB3EEB" w:rsidRDefault="00EA650B" w:rsidP="00EA650B">
      <w:pPr>
        <w:pStyle w:val="Titre"/>
        <w:jc w:val="center"/>
      </w:pPr>
      <w:r>
        <w:t xml:space="preserve">Les techniques de </w:t>
      </w:r>
      <w:r w:rsidR="008B07C1">
        <w:t>modulation</w:t>
      </w:r>
      <w:r>
        <w:t xml:space="preserve"> de </w:t>
      </w:r>
      <w:r w:rsidR="008B07C1">
        <w:t>fréquence</w:t>
      </w:r>
    </w:p>
    <w:p w14:paraId="5322DDF0" w14:textId="7BA910F5" w:rsidR="00063F87" w:rsidRDefault="00063F87" w:rsidP="00063F87"/>
    <w:p w14:paraId="1FFC7FDE" w14:textId="34C21AAD" w:rsidR="00063F87" w:rsidRDefault="00063F87" w:rsidP="00063F87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806846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92E83CF" w14:textId="4A917AF7" w:rsidR="00063F87" w:rsidRDefault="00063F87">
          <w:pPr>
            <w:pStyle w:val="En-ttedetabledesmatires"/>
          </w:pPr>
          <w:r>
            <w:t>Table des matières</w:t>
          </w:r>
        </w:p>
        <w:p w14:paraId="0628C86E" w14:textId="6CF77FA2" w:rsidR="00E83FB0" w:rsidRDefault="00063F87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783730" w:history="1">
            <w:r w:rsidR="00E83FB0" w:rsidRPr="00550DA3">
              <w:rPr>
                <w:rStyle w:val="Lienhypertexte"/>
                <w:noProof/>
              </w:rPr>
              <w:t>Introduction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_Toc127783730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1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659DE7B2" w14:textId="4A8E68ED" w:rsidR="00E83FB0" w:rsidRDefault="0024685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1" w:history="1">
            <w:r w:rsidR="00E83FB0" w:rsidRPr="00550DA3">
              <w:rPr>
                <w:rStyle w:val="Lienhypertexte"/>
                <w:noProof/>
              </w:rPr>
              <w:t>Signal transmis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_Toc127783731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1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75CE794B" w14:textId="21D12CF3" w:rsidR="00E83FB0" w:rsidRDefault="0024685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2" w:history="1">
            <w:r w:rsidR="00E83FB0" w:rsidRPr="00550DA3">
              <w:rPr>
                <w:rStyle w:val="Lienhypertexte"/>
                <w:noProof/>
              </w:rPr>
              <w:t>Codes de Barker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_Toc127783732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2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0D102617" w14:textId="1B0F6B16" w:rsidR="00E83FB0" w:rsidRDefault="0024685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3" w:history="1">
            <w:r w:rsidR="00E83FB0" w:rsidRPr="00550DA3">
              <w:rPr>
                <w:rStyle w:val="Lienhypertexte"/>
                <w:noProof/>
              </w:rPr>
              <w:t>Les codes de Barker biphasiques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_Toc127783733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2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3F91ECF0" w14:textId="3ADDA5D4" w:rsidR="00E83FB0" w:rsidRDefault="0024685C">
          <w:pPr>
            <w:pStyle w:val="TM2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4" w:history="1">
            <w:r w:rsidR="00E83FB0" w:rsidRPr="00550DA3">
              <w:rPr>
                <w:rStyle w:val="Lienhypertexte"/>
                <w:noProof/>
              </w:rPr>
              <w:t>Codes de Barker polyphasiques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_Toc127783734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3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5C3B8FF3" w14:textId="247AF0B3" w:rsidR="00E83FB0" w:rsidRDefault="0024685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5" w:history="1">
            <w:r w:rsidR="00E83FB0" w:rsidRPr="00550DA3">
              <w:rPr>
                <w:rStyle w:val="Lienhypertexte"/>
                <w:noProof/>
              </w:rPr>
              <w:t>Codes de Frank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_Toc127783735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4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740E322B" w14:textId="6493C3AA" w:rsidR="00E83FB0" w:rsidRDefault="0024685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6" w:history="1">
            <w:r w:rsidR="00E83FB0" w:rsidRPr="00550DA3">
              <w:rPr>
                <w:rStyle w:val="Lienhypertexte"/>
                <w:noProof/>
              </w:rPr>
              <w:t>Code polyphase P1, P2, P3, P4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_Toc127783736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4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5FA7941B" w14:textId="7956FBE8" w:rsidR="00E83FB0" w:rsidRDefault="0024685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7" w:history="1">
            <w:r w:rsidR="00E83FB0" w:rsidRPr="00550DA3">
              <w:rPr>
                <w:rStyle w:val="Lienhypertexte"/>
                <w:noProof/>
              </w:rPr>
              <w:t>Codes polytime (T1, T2, T3, T4)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_Toc127783737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5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3AE9ACA5" w14:textId="4E30A651" w:rsidR="00E83FB0" w:rsidRDefault="0024685C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127783738" w:history="1">
            <w:r w:rsidR="00E83FB0" w:rsidRPr="00550DA3">
              <w:rPr>
                <w:rStyle w:val="Lienhypertexte"/>
                <w:noProof/>
              </w:rPr>
              <w:t>Conclusion</w:t>
            </w:r>
            <w:r w:rsidR="00E83FB0">
              <w:rPr>
                <w:noProof/>
                <w:webHidden/>
              </w:rPr>
              <w:tab/>
            </w:r>
            <w:r w:rsidR="00E83FB0">
              <w:rPr>
                <w:noProof/>
                <w:webHidden/>
              </w:rPr>
              <w:fldChar w:fldCharType="begin"/>
            </w:r>
            <w:r w:rsidR="00E83FB0">
              <w:rPr>
                <w:noProof/>
                <w:webHidden/>
              </w:rPr>
              <w:instrText xml:space="preserve"> PAGEREF _Toc127783738 \h </w:instrText>
            </w:r>
            <w:r w:rsidR="00E83FB0">
              <w:rPr>
                <w:noProof/>
                <w:webHidden/>
              </w:rPr>
            </w:r>
            <w:r w:rsidR="00E83FB0">
              <w:rPr>
                <w:noProof/>
                <w:webHidden/>
              </w:rPr>
              <w:fldChar w:fldCharType="separate"/>
            </w:r>
            <w:r w:rsidR="00E83FB0">
              <w:rPr>
                <w:noProof/>
                <w:webHidden/>
              </w:rPr>
              <w:t>6</w:t>
            </w:r>
            <w:r w:rsidR="00E83FB0">
              <w:rPr>
                <w:noProof/>
                <w:webHidden/>
              </w:rPr>
              <w:fldChar w:fldCharType="end"/>
            </w:r>
          </w:hyperlink>
        </w:p>
        <w:p w14:paraId="3A65872B" w14:textId="319111CE" w:rsidR="00EA650B" w:rsidRDefault="00063F87" w:rsidP="00EA650B">
          <w:r>
            <w:rPr>
              <w:b/>
              <w:bCs/>
            </w:rPr>
            <w:fldChar w:fldCharType="end"/>
          </w:r>
        </w:p>
      </w:sdtContent>
    </w:sdt>
    <w:p w14:paraId="53407A16" w14:textId="5CF238F0" w:rsidR="00EA650B" w:rsidRDefault="00EA650B" w:rsidP="00EA650B"/>
    <w:p w14:paraId="537F27D4" w14:textId="5A072304" w:rsidR="00EA650B" w:rsidRDefault="00EA650B" w:rsidP="00970D49">
      <w:pPr>
        <w:pStyle w:val="Titre1"/>
      </w:pPr>
      <w:bookmarkStart w:id="0" w:name="_Toc127783730"/>
      <w:r>
        <w:t>Introduction</w:t>
      </w:r>
      <w:bookmarkEnd w:id="0"/>
      <w:r>
        <w:t xml:space="preserve"> </w:t>
      </w:r>
    </w:p>
    <w:p w14:paraId="30885E5E" w14:textId="5D647E5B" w:rsidR="00F2465C" w:rsidRDefault="004D5026" w:rsidP="00F2465C">
      <w:r>
        <w:t xml:space="preserve">Les radars à ondes </w:t>
      </w:r>
      <w:proofErr w:type="gramStart"/>
      <w:r>
        <w:t>continues</w:t>
      </w:r>
      <w:proofErr w:type="gramEnd"/>
      <w:r>
        <w:t xml:space="preserve"> </w:t>
      </w:r>
      <w:r w:rsidR="00C02C65">
        <w:t xml:space="preserve">non modulées ne peuvent pas calculer la distance de la cible mais uniquement sa vitesse par effet Doppler. Ce type de radar est utilisé par exemple pour </w:t>
      </w:r>
      <w:r w:rsidR="00F2465C">
        <w:t>les radars routiers</w:t>
      </w:r>
      <w:r w:rsidR="00C02C65">
        <w:t xml:space="preserve"> mais </w:t>
      </w:r>
      <w:r w:rsidR="004B358D">
        <w:t xml:space="preserve">n’est pas le type de radar à onde continue </w:t>
      </w:r>
      <w:proofErr w:type="gramStart"/>
      <w:r w:rsidR="004B358D">
        <w:t>privilégié</w:t>
      </w:r>
      <w:proofErr w:type="gramEnd"/>
      <w:r w:rsidR="004B358D">
        <w:t xml:space="preserve"> pour la détection de cible </w:t>
      </w:r>
      <w:r w:rsidR="007F507C">
        <w:t xml:space="preserve">dans des contexte plus complexes.  </w:t>
      </w:r>
      <w:r w:rsidR="00170852">
        <w:t xml:space="preserve">Si la forme d’onde est modulée en fréquence, alors par un système de corrélation, il est possible de déterminer la distance de la cible </w:t>
      </w:r>
      <w:r w:rsidR="008D360D">
        <w:t xml:space="preserve">en mesurant le retard entre l’onde </w:t>
      </w:r>
      <w:proofErr w:type="gramStart"/>
      <w:r w:rsidR="008D360D">
        <w:t>émise</w:t>
      </w:r>
      <w:proofErr w:type="gramEnd"/>
      <w:r w:rsidR="008D360D">
        <w:t xml:space="preserve"> et l’onde réceptionnée. </w:t>
      </w:r>
      <w:r w:rsidR="00F2465C">
        <w:t xml:space="preserve">En général, on utilise des cycles de modulation périodique.  </w:t>
      </w:r>
    </w:p>
    <w:p w14:paraId="1C9AD7AC" w14:textId="207BF708" w:rsidR="008754AB" w:rsidRDefault="00EC0D16" w:rsidP="00EA650B">
      <w:r>
        <w:t>Les radars FMCW sont les plus couramment utilisés lorsqu’un radar a pour objectif d’être LPI</w:t>
      </w:r>
      <w:r w:rsidR="00E70774">
        <w:t xml:space="preserve"> notamment grâce à la simplicité de sa mise en œuvre et ses hautes résolutions. </w:t>
      </w:r>
      <w:r w:rsidR="008754AB">
        <w:t xml:space="preserve">Les </w:t>
      </w:r>
      <w:r w:rsidR="0041247A">
        <w:t>principales</w:t>
      </w:r>
      <w:r w:rsidR="008754AB">
        <w:t xml:space="preserve"> capacités LPI d’un radar FMCW sont</w:t>
      </w:r>
      <w:r w:rsidR="0041247A">
        <w:t> :</w:t>
      </w:r>
    </w:p>
    <w:p w14:paraId="4EC0AB1F" w14:textId="54C81C2C" w:rsidR="0041247A" w:rsidRDefault="0041247A" w:rsidP="0041247A">
      <w:pPr>
        <w:pStyle w:val="Paragraphedeliste"/>
        <w:numPr>
          <w:ilvl w:val="0"/>
          <w:numId w:val="1"/>
        </w:numPr>
      </w:pPr>
      <w:r>
        <w:t>De faibles lobes secondaires</w:t>
      </w:r>
    </w:p>
    <w:p w14:paraId="1BEDA578" w14:textId="1AC2E9ED" w:rsidR="00C02577" w:rsidRDefault="00C02577" w:rsidP="0041247A">
      <w:pPr>
        <w:pStyle w:val="Paragraphedeliste"/>
        <w:numPr>
          <w:ilvl w:val="0"/>
          <w:numId w:val="1"/>
        </w:numPr>
      </w:pPr>
      <w:r>
        <w:t>Compatibilité avec les émetteurs à état solide permettant l’émission d’ondes à faible puissance</w:t>
      </w:r>
    </w:p>
    <w:p w14:paraId="1F8F1A99" w14:textId="4871CC97" w:rsidR="0041247A" w:rsidRDefault="0041247A" w:rsidP="0041247A">
      <w:pPr>
        <w:pStyle w:val="Paragraphedeliste"/>
        <w:numPr>
          <w:ilvl w:val="0"/>
          <w:numId w:val="1"/>
        </w:numPr>
      </w:pPr>
      <w:r>
        <w:t xml:space="preserve">Une grande largeur de bande </w:t>
      </w:r>
    </w:p>
    <w:p w14:paraId="68693105" w14:textId="0CC04E41" w:rsidR="0041247A" w:rsidRDefault="0041247A" w:rsidP="0041247A">
      <w:pPr>
        <w:pStyle w:val="Paragraphedeliste"/>
        <w:numPr>
          <w:ilvl w:val="0"/>
          <w:numId w:val="1"/>
        </w:numPr>
      </w:pPr>
      <w:r>
        <w:t>Un</w:t>
      </w:r>
      <w:r w:rsidR="000C6D27">
        <w:t xml:space="preserve">e répartition de la puissance spectrale pratiquement rectangulaire autour de la largeur de bande </w:t>
      </w:r>
    </w:p>
    <w:p w14:paraId="4886D001" w14:textId="63B64DCE" w:rsidR="000C6D27" w:rsidRDefault="000C6D27" w:rsidP="0041247A">
      <w:pPr>
        <w:pStyle w:val="Paragraphedeliste"/>
        <w:numPr>
          <w:ilvl w:val="0"/>
          <w:numId w:val="1"/>
        </w:numPr>
      </w:pPr>
      <w:r>
        <w:t xml:space="preserve">L’utilisation de </w:t>
      </w:r>
      <w:r w:rsidR="00E01732">
        <w:t xml:space="preserve">processus de corrélation permettant d’éviter notamment le brouillage et de gagner en distance </w:t>
      </w:r>
      <w:r w:rsidR="00C02577">
        <w:t xml:space="preserve">aveugle </w:t>
      </w:r>
    </w:p>
    <w:p w14:paraId="63D3D03E" w14:textId="1A25FFB2" w:rsidR="00AA5812" w:rsidRDefault="00AA5812" w:rsidP="0041247A">
      <w:pPr>
        <w:pStyle w:val="Paragraphedeliste"/>
        <w:numPr>
          <w:ilvl w:val="0"/>
          <w:numId w:val="1"/>
        </w:numPr>
      </w:pPr>
      <w:r>
        <w:t>Le processus de corrélation peut être réalisée de façon très simple et rapide avec des transformations FFT</w:t>
      </w:r>
    </w:p>
    <w:p w14:paraId="3ECEFEB8" w14:textId="6A081D58" w:rsidR="00E62989" w:rsidRDefault="00E62989" w:rsidP="0041247A">
      <w:pPr>
        <w:pStyle w:val="Paragraphedeliste"/>
        <w:numPr>
          <w:ilvl w:val="0"/>
          <w:numId w:val="1"/>
        </w:numPr>
      </w:pPr>
      <w:r>
        <w:lastRenderedPageBreak/>
        <w:t>La gestion de la puissance de l’onde émise permet de s’assurer que l</w:t>
      </w:r>
      <w:r w:rsidR="007A250D">
        <w:t xml:space="preserve">e minimum de puissance permettant de détecter la cible est envoyé, augmentant ses capacité LPI et diminuant les risques </w:t>
      </w:r>
      <w:r w:rsidR="00C7618E">
        <w:t xml:space="preserve">de saturation dans le récepteur. </w:t>
      </w:r>
    </w:p>
    <w:p w14:paraId="545AA9F6" w14:textId="77777777" w:rsidR="00772776" w:rsidRDefault="00772776" w:rsidP="00772776"/>
    <w:p w14:paraId="02DE8B44" w14:textId="5FAFAC1D" w:rsidR="00970D49" w:rsidRDefault="00970D49" w:rsidP="00970D49">
      <w:pPr>
        <w:pStyle w:val="Titre1"/>
      </w:pPr>
      <w:bookmarkStart w:id="1" w:name="_Toc127783731"/>
      <w:r>
        <w:t xml:space="preserve">Signal </w:t>
      </w:r>
      <w:bookmarkEnd w:id="1"/>
      <w:r w:rsidR="002812F3">
        <w:t xml:space="preserve">triangulaire </w:t>
      </w:r>
    </w:p>
    <w:p w14:paraId="721D2102" w14:textId="139F2D06" w:rsidR="00772776" w:rsidRDefault="00772776" w:rsidP="00CE5E1C">
      <w:r>
        <w:t xml:space="preserve">La modulation de fréquence linéaire le plus couramment rencontrée est la modulation triangulaire. </w:t>
      </w:r>
      <w:r w:rsidR="004F0A99">
        <w:t xml:space="preserve">La fréquence </w:t>
      </w:r>
      <w:r w:rsidR="006D769C">
        <w:t xml:space="preserve">est donnée par : </w:t>
      </w:r>
    </w:p>
    <w:p w14:paraId="5C8F0BC1" w14:textId="46E54418" w:rsidR="006D769C" w:rsidRPr="00861E1E" w:rsidRDefault="006D769C" w:rsidP="00CE5E1C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>t</m:t>
          </m:r>
        </m:oMath>
      </m:oMathPara>
    </w:p>
    <w:p w14:paraId="0A3E0DA0" w14:textId="4C0ED60E" w:rsidR="00861E1E" w:rsidRPr="00CE5E1C" w:rsidRDefault="00861E1E" w:rsidP="00861E1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F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</w:rPr>
            <m:t>t</m:t>
          </m:r>
        </m:oMath>
      </m:oMathPara>
    </w:p>
    <w:p w14:paraId="6472268E" w14:textId="77777777" w:rsidR="00861E1E" w:rsidRPr="00CE5E1C" w:rsidRDefault="00861E1E" w:rsidP="00CE5E1C"/>
    <w:sectPr w:rsidR="00861E1E" w:rsidRPr="00CE5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2A5E" w14:textId="77777777" w:rsidR="009A0BAE" w:rsidRDefault="009A0BAE" w:rsidP="00713545">
      <w:pPr>
        <w:spacing w:after="0" w:line="240" w:lineRule="auto"/>
      </w:pPr>
      <w:r>
        <w:separator/>
      </w:r>
    </w:p>
  </w:endnote>
  <w:endnote w:type="continuationSeparator" w:id="0">
    <w:p w14:paraId="2CA02A35" w14:textId="77777777" w:rsidR="009A0BAE" w:rsidRDefault="009A0BAE" w:rsidP="00713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89CE0" w14:textId="77777777" w:rsidR="009A0BAE" w:rsidRDefault="009A0BAE" w:rsidP="00713545">
      <w:pPr>
        <w:spacing w:after="0" w:line="240" w:lineRule="auto"/>
      </w:pPr>
      <w:r>
        <w:separator/>
      </w:r>
    </w:p>
  </w:footnote>
  <w:footnote w:type="continuationSeparator" w:id="0">
    <w:p w14:paraId="0B479310" w14:textId="77777777" w:rsidR="009A0BAE" w:rsidRDefault="009A0BAE" w:rsidP="00713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96BF1"/>
    <w:multiLevelType w:val="hybridMultilevel"/>
    <w:tmpl w:val="97621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74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50B"/>
    <w:rsid w:val="000276B9"/>
    <w:rsid w:val="00031560"/>
    <w:rsid w:val="0003794A"/>
    <w:rsid w:val="00047317"/>
    <w:rsid w:val="00063F87"/>
    <w:rsid w:val="00075DC6"/>
    <w:rsid w:val="00084CCB"/>
    <w:rsid w:val="0009054C"/>
    <w:rsid w:val="000C6D27"/>
    <w:rsid w:val="000D701E"/>
    <w:rsid w:val="000E0CF2"/>
    <w:rsid w:val="001103DE"/>
    <w:rsid w:val="0017038F"/>
    <w:rsid w:val="00170852"/>
    <w:rsid w:val="00176359"/>
    <w:rsid w:val="001B7C62"/>
    <w:rsid w:val="001E47FF"/>
    <w:rsid w:val="002079ED"/>
    <w:rsid w:val="00214D09"/>
    <w:rsid w:val="0024685C"/>
    <w:rsid w:val="002723A0"/>
    <w:rsid w:val="002812F3"/>
    <w:rsid w:val="002A2183"/>
    <w:rsid w:val="002B2F3C"/>
    <w:rsid w:val="002B5252"/>
    <w:rsid w:val="00344D95"/>
    <w:rsid w:val="003871D8"/>
    <w:rsid w:val="00391340"/>
    <w:rsid w:val="003B3709"/>
    <w:rsid w:val="003C2D33"/>
    <w:rsid w:val="003D39C8"/>
    <w:rsid w:val="0041247A"/>
    <w:rsid w:val="00427829"/>
    <w:rsid w:val="00436DB4"/>
    <w:rsid w:val="00437D7B"/>
    <w:rsid w:val="004629C2"/>
    <w:rsid w:val="0048084C"/>
    <w:rsid w:val="00494A59"/>
    <w:rsid w:val="004B358D"/>
    <w:rsid w:val="004B56E0"/>
    <w:rsid w:val="004D5026"/>
    <w:rsid w:val="004E4033"/>
    <w:rsid w:val="004F0A99"/>
    <w:rsid w:val="0053524F"/>
    <w:rsid w:val="00572FB7"/>
    <w:rsid w:val="00581C71"/>
    <w:rsid w:val="005E7C6D"/>
    <w:rsid w:val="005F1918"/>
    <w:rsid w:val="00607543"/>
    <w:rsid w:val="0061199D"/>
    <w:rsid w:val="00611E8A"/>
    <w:rsid w:val="0062031A"/>
    <w:rsid w:val="0063158F"/>
    <w:rsid w:val="0065085C"/>
    <w:rsid w:val="00672BA8"/>
    <w:rsid w:val="00696F20"/>
    <w:rsid w:val="006A623E"/>
    <w:rsid w:val="006B03EA"/>
    <w:rsid w:val="006B26B0"/>
    <w:rsid w:val="006D27C0"/>
    <w:rsid w:val="006D769C"/>
    <w:rsid w:val="006E118B"/>
    <w:rsid w:val="006E2B7B"/>
    <w:rsid w:val="006E30F6"/>
    <w:rsid w:val="006F1076"/>
    <w:rsid w:val="006F593B"/>
    <w:rsid w:val="00707F40"/>
    <w:rsid w:val="00713545"/>
    <w:rsid w:val="0072147C"/>
    <w:rsid w:val="00734C83"/>
    <w:rsid w:val="00772776"/>
    <w:rsid w:val="007822D0"/>
    <w:rsid w:val="0079071C"/>
    <w:rsid w:val="007A250D"/>
    <w:rsid w:val="007A690A"/>
    <w:rsid w:val="007C4EE9"/>
    <w:rsid w:val="007C6505"/>
    <w:rsid w:val="007E3CD2"/>
    <w:rsid w:val="007F507C"/>
    <w:rsid w:val="00861E1E"/>
    <w:rsid w:val="008754AB"/>
    <w:rsid w:val="008777EE"/>
    <w:rsid w:val="00880A00"/>
    <w:rsid w:val="008A6954"/>
    <w:rsid w:val="008B07C1"/>
    <w:rsid w:val="008D360D"/>
    <w:rsid w:val="008F35ED"/>
    <w:rsid w:val="00912B20"/>
    <w:rsid w:val="00922B1C"/>
    <w:rsid w:val="00970D49"/>
    <w:rsid w:val="009819EF"/>
    <w:rsid w:val="009A0BAE"/>
    <w:rsid w:val="009B6465"/>
    <w:rsid w:val="009C3441"/>
    <w:rsid w:val="00A21D98"/>
    <w:rsid w:val="00A259C0"/>
    <w:rsid w:val="00A47944"/>
    <w:rsid w:val="00AA5812"/>
    <w:rsid w:val="00AC214D"/>
    <w:rsid w:val="00AC5F62"/>
    <w:rsid w:val="00AE1706"/>
    <w:rsid w:val="00B2196C"/>
    <w:rsid w:val="00B22668"/>
    <w:rsid w:val="00B342BC"/>
    <w:rsid w:val="00B5549A"/>
    <w:rsid w:val="00B55A3F"/>
    <w:rsid w:val="00B605D8"/>
    <w:rsid w:val="00B81662"/>
    <w:rsid w:val="00B8658C"/>
    <w:rsid w:val="00B952DA"/>
    <w:rsid w:val="00B952E2"/>
    <w:rsid w:val="00BB4AE1"/>
    <w:rsid w:val="00C02577"/>
    <w:rsid w:val="00C02C65"/>
    <w:rsid w:val="00C246C5"/>
    <w:rsid w:val="00C33365"/>
    <w:rsid w:val="00C365DF"/>
    <w:rsid w:val="00C61DB6"/>
    <w:rsid w:val="00C711D8"/>
    <w:rsid w:val="00C7618E"/>
    <w:rsid w:val="00CD69D9"/>
    <w:rsid w:val="00CE3139"/>
    <w:rsid w:val="00CE5E1C"/>
    <w:rsid w:val="00D345E3"/>
    <w:rsid w:val="00D45F4D"/>
    <w:rsid w:val="00D6446E"/>
    <w:rsid w:val="00D839AF"/>
    <w:rsid w:val="00DA4FBF"/>
    <w:rsid w:val="00DA67E7"/>
    <w:rsid w:val="00DB3EEB"/>
    <w:rsid w:val="00DF592D"/>
    <w:rsid w:val="00E01732"/>
    <w:rsid w:val="00E07FF8"/>
    <w:rsid w:val="00E236A4"/>
    <w:rsid w:val="00E31684"/>
    <w:rsid w:val="00E42D77"/>
    <w:rsid w:val="00E44B0B"/>
    <w:rsid w:val="00E61883"/>
    <w:rsid w:val="00E62989"/>
    <w:rsid w:val="00E62C0B"/>
    <w:rsid w:val="00E70774"/>
    <w:rsid w:val="00E743F1"/>
    <w:rsid w:val="00E74765"/>
    <w:rsid w:val="00E83E3C"/>
    <w:rsid w:val="00E83FB0"/>
    <w:rsid w:val="00EA08C5"/>
    <w:rsid w:val="00EA650B"/>
    <w:rsid w:val="00EC0D16"/>
    <w:rsid w:val="00ED32D0"/>
    <w:rsid w:val="00F1254E"/>
    <w:rsid w:val="00F2465C"/>
    <w:rsid w:val="00F40ADD"/>
    <w:rsid w:val="00F56BD9"/>
    <w:rsid w:val="00F61F26"/>
    <w:rsid w:val="00F62BF4"/>
    <w:rsid w:val="00F67C7C"/>
    <w:rsid w:val="00FA13C9"/>
    <w:rsid w:val="00FA6946"/>
    <w:rsid w:val="00FB6A5C"/>
    <w:rsid w:val="00FD2561"/>
    <w:rsid w:val="00FD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A51E0"/>
  <w15:chartTrackingRefBased/>
  <w15:docId w15:val="{F6989884-14D6-4DBF-BA3B-529B901F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6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56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6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A65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6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rsid w:val="00970D49"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sid w:val="004B56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7A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462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4629C2"/>
    <w:rPr>
      <w:rFonts w:eastAsiaTheme="minorEastAsia"/>
      <w:color w:val="5A5A5A" w:themeColor="text1" w:themeTint="A5"/>
      <w:spacing w:val="1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1254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1254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1254E"/>
    <w:rPr>
      <w:vertAlign w:val="superscript"/>
    </w:rPr>
  </w:style>
  <w:style w:type="paragraph" w:styleId="Bibliographie">
    <w:name w:val="Bibliography"/>
    <w:basedOn w:val="Normal"/>
    <w:next w:val="Normal"/>
    <w:uiPriority w:val="37"/>
    <w:unhideWhenUsed/>
    <w:rsid w:val="00CE5E1C"/>
    <w:pPr>
      <w:tabs>
        <w:tab w:val="left" w:pos="384"/>
      </w:tabs>
      <w:spacing w:after="0" w:line="240" w:lineRule="auto"/>
      <w:ind w:left="384" w:hanging="384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063F87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63F8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63F8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063F8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124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76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770775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920576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1107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1662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EAA7-14EF-4C8B-AF9C-CF3195DD1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8547</TotalTime>
  <Pages>2</Pages>
  <Words>406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REIHAN MAZOUZ</dc:creator>
  <cp:keywords/>
  <dc:description/>
  <cp:lastModifiedBy>REIHAN MAZOUZ</cp:lastModifiedBy>
  <cp:revision>141</cp:revision>
  <dcterms:created xsi:type="dcterms:W3CDTF">2023-01-31T10:21:00Z</dcterms:created>
  <dcterms:modified xsi:type="dcterms:W3CDTF">2023-02-27T09:40:00Z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2023-02-06T09:17:01Z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9d2f8374-7088-4f94-9b04-7f9163c296ab</vt:lpwstr>
  </property>
  <property fmtid="{D5CDD505-2E9C-101B-9397-08002B2CF9AE}" pid="8" name="MSIP_Label_e463cba9-5f6c-478d-9329-7b2295e4e8ed_ContentBits">
    <vt:lpwstr>0</vt:lpwstr>
  </property>
  <property fmtid="{D5CDD505-2E9C-101B-9397-08002B2CF9AE}" pid="9" name="ZOTERO_PREF_1">
    <vt:lpwstr>&lt;data data-version="3" zotero-version="6.0.18"&gt;&lt;session id="G2uWVRDP"/&gt;&lt;style id="http://www.zotero.org/styles/ieee" locale="fr-FR" hasBibliography="1" bibliographyStyleHasBeenSet="1"/&gt;&lt;prefs&gt;&lt;pref name="fieldType" value="Field"/&gt;&lt;pref name="automaticJour</vt:lpwstr>
  </property>
  <property fmtid="{D5CDD505-2E9C-101B-9397-08002B2CF9AE}" pid="10" name="ZOTERO_PREF_2">
    <vt:lpwstr>nalAbbreviations" value="true"/&gt;&lt;/prefs&gt;&lt;/data&gt;</vt:lpwstr>
  </property>
</Properties>
</file>