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B9EE" w14:textId="77777777" w:rsidR="00F17B37" w:rsidRPr="00183473" w:rsidRDefault="00F17B37" w:rsidP="00F17B37">
      <w:pPr>
        <w:pStyle w:val="Titre1"/>
      </w:pPr>
      <w:r>
        <w:t>Fiche descriptive de l’opération de Recherche : Navigation et Défense Maritime</w:t>
      </w:r>
    </w:p>
    <w:p w14:paraId="331FD2B4" w14:textId="77777777" w:rsidR="00F17B37" w:rsidRPr="006E027E" w:rsidRDefault="00F17B37" w:rsidP="00F17B37">
      <w:pPr>
        <w:pBdr>
          <w:top w:val="single" w:sz="4" w:space="1" w:color="000000" w:themeColor="text1"/>
          <w:left w:val="single" w:sz="4" w:space="4" w:color="000000" w:themeColor="text1"/>
          <w:bottom w:val="single" w:sz="4" w:space="1" w:color="000000" w:themeColor="text1"/>
          <w:right w:val="single" w:sz="4" w:space="4" w:color="000000" w:themeColor="text1"/>
        </w:pBdr>
        <w:shd w:val="pct25" w:color="auto" w:fill="auto"/>
        <w:jc w:val="center"/>
        <w:rPr>
          <w:b/>
          <w:bCs/>
          <w:sz w:val="44"/>
          <w:szCs w:val="44"/>
        </w:rPr>
      </w:pPr>
      <w:r w:rsidRPr="006E027E">
        <w:rPr>
          <w:b/>
          <w:bCs/>
          <w:sz w:val="44"/>
          <w:szCs w:val="44"/>
        </w:rPr>
        <w:t>Opération de R&amp;D :</w:t>
      </w:r>
    </w:p>
    <w:tbl>
      <w:tblPr>
        <w:tblW w:w="9071"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17B37" w14:paraId="2FA20AA0" w14:textId="77777777" w:rsidTr="004E161F">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E304F3" w14:textId="77777777" w:rsidR="00F17B37" w:rsidRDefault="00F17B37" w:rsidP="004E161F">
            <w:r>
              <w:t>Identifiant de l'opération : Navigation et Défense Maritime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E41DC02" w14:textId="77777777" w:rsidR="00F17B37" w:rsidRDefault="00F17B37" w:rsidP="004E161F">
            <w:r>
              <w:t>Année(s) considérée(s) : 2024</w:t>
            </w:r>
          </w:p>
        </w:tc>
      </w:tr>
      <w:tr w:rsidR="00F17B37" w14:paraId="1EC2AB04" w14:textId="77777777" w:rsidTr="004E161F">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767E640E" w14:textId="77777777" w:rsidR="00F17B37" w:rsidRDefault="00F17B37" w:rsidP="004E161F">
            <w:r>
              <w:t>Date de début de l'opération : 2021</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D1554F" w14:textId="77777777" w:rsidR="00F17B37" w:rsidRDefault="00F17B37" w:rsidP="004E161F">
            <w:r>
              <w:t>Date de fin de l'opération : en cours</w:t>
            </w:r>
          </w:p>
        </w:tc>
      </w:tr>
      <w:tr w:rsidR="00F17B37" w14:paraId="5F86570D" w14:textId="77777777" w:rsidTr="004E161F">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2D2780D6" w14:textId="77777777" w:rsidR="00F17B37" w:rsidRDefault="00F17B37" w:rsidP="004E161F">
            <w:pPr>
              <w:rPr>
                <w:highlight w:val="cyan"/>
              </w:rPr>
            </w:pPr>
            <w:r>
              <w:t>Volume horaire déclaré au CIR pour l'opération :  jours</w:t>
            </w:r>
          </w:p>
        </w:tc>
      </w:tr>
      <w:tr w:rsidR="00F17B37" w14:paraId="1B8FEF7A" w14:textId="77777777" w:rsidTr="004E161F">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3FC6683D" w14:textId="77777777" w:rsidR="00F17B37" w:rsidRDefault="00F17B37" w:rsidP="004E161F">
            <w:r>
              <w:t xml:space="preserve">Domaine de recherche principal et sous-domaines associés et mots clés si nécessaire :  </w:t>
            </w:r>
          </w:p>
          <w:p w14:paraId="3999AFD2" w14:textId="77777777" w:rsidR="00F17B37" w:rsidRDefault="00F17B37" w:rsidP="004E161F">
            <w:pPr>
              <w:jc w:val="left"/>
            </w:pPr>
            <w:r w:rsidRPr="00E5248E">
              <w:rPr>
                <w:b/>
                <w:bCs/>
              </w:rPr>
              <w:t>A1</w:t>
            </w:r>
            <w:r w:rsidRPr="00E5248E">
              <w:t xml:space="preserve"> </w:t>
            </w:r>
            <w:r>
              <w:t>Traitement du signal : b, c, d ;</w:t>
            </w:r>
          </w:p>
          <w:p w14:paraId="57FAE5F3" w14:textId="77777777" w:rsidR="00F17B37" w:rsidRDefault="00F17B37" w:rsidP="004E161F">
            <w:pPr>
              <w:jc w:val="left"/>
            </w:pPr>
            <w:r w:rsidRPr="00E5248E">
              <w:rPr>
                <w:b/>
                <w:bCs/>
              </w:rPr>
              <w:t>A2</w:t>
            </w:r>
            <w:r w:rsidRPr="00E5248E">
              <w:t xml:space="preserve"> </w:t>
            </w:r>
            <w:r>
              <w:t>Électronique : a, b, c ;</w:t>
            </w:r>
          </w:p>
          <w:p w14:paraId="4F54933D" w14:textId="77777777" w:rsidR="00F17B37" w:rsidRDefault="00F17B37" w:rsidP="004E161F">
            <w:pPr>
              <w:jc w:val="left"/>
            </w:pPr>
            <w:r w:rsidRPr="00E5248E">
              <w:rPr>
                <w:b/>
                <w:bCs/>
              </w:rPr>
              <w:t>A3</w:t>
            </w:r>
            <w:r w:rsidRPr="00E5248E">
              <w:t xml:space="preserve"> </w:t>
            </w:r>
            <w:r>
              <w:t xml:space="preserve">Télécommunications et Réseaux : a, b, d, e ; </w:t>
            </w:r>
          </w:p>
          <w:p w14:paraId="7AA15D94" w14:textId="77777777" w:rsidR="00F17B37" w:rsidRDefault="00F17B37" w:rsidP="004E161F">
            <w:pPr>
              <w:jc w:val="left"/>
            </w:pPr>
            <w:r w:rsidRPr="00E5248E">
              <w:rPr>
                <w:b/>
                <w:bCs/>
              </w:rPr>
              <w:t xml:space="preserve">A4 </w:t>
            </w:r>
            <w:r>
              <w:t xml:space="preserve">Informatique : b, e, f, m. </w:t>
            </w:r>
          </w:p>
        </w:tc>
      </w:tr>
    </w:tbl>
    <w:p w14:paraId="7BE2E6C5" w14:textId="21166DF8" w:rsidR="00F17B37" w:rsidRPr="00CB33EC" w:rsidRDefault="00F17B37" w:rsidP="00CB33EC">
      <w:pPr>
        <w:pStyle w:val="Titre2"/>
      </w:pPr>
      <w:bookmarkStart w:id="0" w:name="_Toc150789232"/>
      <w:r w:rsidRPr="00CB33EC">
        <w:t>L’opération de R&amp;D dans le cadre de l’activité de l’entreprise</w:t>
      </w:r>
      <w:bookmarkEnd w:id="0"/>
      <w:r w:rsidR="00CB33EC">
        <w:t>.</w:t>
      </w:r>
    </w:p>
    <w:p w14:paraId="4ABC1066" w14:textId="77777777" w:rsidR="00F17B37" w:rsidRDefault="00F17B37" w:rsidP="00F17B37">
      <w:r>
        <w:t>AVANTIX, en tant que leader dans la conception et l'intégration de systèmes critiques de haute technologie grâce à son expertise combinée en électronique et en technologie de l'information, travaille sur l’amélioration substantielle des performances de calcul et de défense de ces systèmes notamment dans le domaine maritime.</w:t>
      </w:r>
    </w:p>
    <w:p w14:paraId="2BCDE436" w14:textId="77777777" w:rsidR="00F17B37" w:rsidRDefault="00F17B37" w:rsidP="00F17B37">
      <w:r>
        <w:t>Cette opération de R&amp;D s'inscrit dans un environnement technologique exigeant, caractérisé par des contraintes sévères en termes de cybersécurité, de résistance mécanique des composants électroniques, et d'adaptabilité à des conditions environnementales extrêmes, notamment les hautes pressions sous-marines.</w:t>
      </w:r>
    </w:p>
    <w:p w14:paraId="14B8A637" w14:textId="77777777" w:rsidR="00F17B37" w:rsidRDefault="00F17B37" w:rsidP="00F17B37">
      <w:r>
        <w:t xml:space="preserve">Les systèmes critiques dans le secteur de la défense maritime sont particulièrement vulnérables aux cyberattaques, du fait de leur rôle stratégique dans la protection des infrastructures navales. La conception de systèmes électroniques pour ce domaine nécessite donc le développement de solutions robustes de cybersécurité, capables de répondre aux risques accrus de piratage, d’espionnage, et de sabotage. </w:t>
      </w:r>
    </w:p>
    <w:p w14:paraId="0ACD411C" w14:textId="77777777" w:rsidR="00F17B37" w:rsidRDefault="00F17B37" w:rsidP="00F17B37">
      <w:r>
        <w:t>Les équipements électroniques sont exposés à des conditions environnementales extrêmes, telles que la corrosion due à l'eau salée, les vibrations fortes générées par le fonctionnement des navires, ainsi que les impacts physiques. Pour garantir la durabilité et la fiabilité de ces systèmes, AVANTIX mène des travaux de recherche sur la conception de cartes électroniques résistant à ces contraintes mécaniques.</w:t>
      </w:r>
    </w:p>
    <w:p w14:paraId="7F477A54" w14:textId="77777777" w:rsidR="00F17B37" w:rsidRDefault="00F17B37" w:rsidP="00F17B37">
      <w:r>
        <w:lastRenderedPageBreak/>
        <w:t>Les systèmes critiques sous-marin impliquent parfois d’avoir des éléments à l’extérieur du navire exposés à des pressions considérables qui peuvent affecter les performances et la durabilité des systèmes électroniques embarqués. Les efforts de R&amp;D d’AVANTIX visent à développer des systèmes capables de fonctionner de manière optimale même sous des pressions extrêmes.</w:t>
      </w:r>
    </w:p>
    <w:p w14:paraId="742CDA54" w14:textId="7509E114" w:rsidR="00F17B37" w:rsidRDefault="00F17B37" w:rsidP="00F17B37">
      <w:r>
        <w:t>L’opération de 202</w:t>
      </w:r>
      <w:r w:rsidR="00C94E99">
        <w:t>4</w:t>
      </w:r>
      <w:r>
        <w:t xml:space="preserve"> s’inscrit dans le cadre de ces développements antérieurs et vise à concevoir, tester et valider des solutions novatrices pour la défense maritime.</w:t>
      </w:r>
    </w:p>
    <w:p w14:paraId="77C0C56B" w14:textId="41F2F7BA" w:rsidR="00F17B37" w:rsidRPr="00CB33EC" w:rsidRDefault="00F17B37" w:rsidP="00CB33EC">
      <w:pPr>
        <w:pStyle w:val="Titre3"/>
      </w:pPr>
      <w:bookmarkStart w:id="1" w:name="_Toc150789233"/>
      <w:r w:rsidRPr="00CB33EC">
        <w:t>Indicateurs de recherche</w:t>
      </w:r>
      <w:bookmarkEnd w:id="1"/>
      <w:r w:rsidR="00CB33EC" w:rsidRPr="00CB33EC">
        <w:t>.</w:t>
      </w:r>
    </w:p>
    <w:p w14:paraId="39629248" w14:textId="77777777" w:rsidR="00F17B37" w:rsidRDefault="00F17B37" w:rsidP="00F17B37">
      <w:r>
        <w:t>Les travaux de recherche que nous menons dans le cadre de cette opération correspondent aux éléments inclus dans la mesure de R&amp;D du manuel de Frascati, publié par l’OCDE en 2015 :</w:t>
      </w:r>
    </w:p>
    <w:p w14:paraId="1592AA1A" w14:textId="77777777" w:rsidR="00F17B37" w:rsidRPr="008A6F19" w:rsidRDefault="00F17B37" w:rsidP="00F17B37">
      <w:pPr>
        <w:pStyle w:val="Paragraphedeliste"/>
        <w:numPr>
          <w:ilvl w:val="0"/>
          <w:numId w:val="1"/>
        </w:numPr>
        <w:rPr>
          <w:b/>
          <w:bCs/>
        </w:rPr>
      </w:pPr>
      <w:r w:rsidRPr="008A6F19">
        <w:rPr>
          <w:b/>
          <w:bCs/>
        </w:rPr>
        <w:t>Répartition par type de R-D – Développement expérimental (paragraphe n°232) :</w:t>
      </w:r>
    </w:p>
    <w:p w14:paraId="36946809" w14:textId="77777777" w:rsidR="00F17B37" w:rsidRPr="0051594D" w:rsidRDefault="00F17B37" w:rsidP="00F17B37">
      <w:pPr>
        <w:pBdr>
          <w:top w:val="single" w:sz="4" w:space="1" w:color="auto"/>
          <w:left w:val="single" w:sz="4" w:space="4" w:color="auto"/>
          <w:bottom w:val="single" w:sz="4" w:space="1" w:color="auto"/>
          <w:right w:val="single" w:sz="4" w:space="4" w:color="auto"/>
        </w:pBdr>
        <w:rPr>
          <w:i/>
          <w:iCs/>
        </w:rPr>
      </w:pPr>
      <w:r w:rsidRPr="008A6F19">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667EAC5" w14:textId="77777777" w:rsidR="00F17B37" w:rsidRDefault="00F17B37" w:rsidP="00F17B37">
      <w:r>
        <w:t>Nos travaux, consistant à exploiter les connaissances tirées de la recherche en systèmes cyber-physiques, résistance mécanique et de l’expérience pratique du Ministère des Armées pour développer des équipements de haute technologie pour la Défense Maritime, s’inscrivent directement dans une démarche de développement expérimental.</w:t>
      </w:r>
    </w:p>
    <w:p w14:paraId="5DC53EAA" w14:textId="495A4438" w:rsidR="00CB33EC" w:rsidRPr="00CB33EC" w:rsidRDefault="00F17B37" w:rsidP="00CB33EC">
      <w:pPr>
        <w:pStyle w:val="Titre3"/>
      </w:pPr>
      <w:bookmarkStart w:id="2" w:name="_Toc150789234"/>
      <w:r w:rsidRPr="00CB33EC">
        <w:t>Objet de l’opération de R&amp;D.</w:t>
      </w:r>
      <w:bookmarkEnd w:id="2"/>
    </w:p>
    <w:p w14:paraId="0FCA35B2" w14:textId="77777777" w:rsidR="00F17B37" w:rsidRPr="00CB33EC" w:rsidRDefault="00F17B37" w:rsidP="00CB33EC">
      <w:pPr>
        <w:pStyle w:val="Titre4"/>
      </w:pPr>
      <w:r w:rsidRPr="00CB33EC">
        <w:t>Objectif global.</w:t>
      </w:r>
    </w:p>
    <w:p w14:paraId="46938FB2" w14:textId="77777777" w:rsidR="000101BF" w:rsidRDefault="000101BF" w:rsidP="000101BF">
      <w:r>
        <w:t>L’opération a pour objectif la conception de systèmes critiques pour la défense maritime. Dans ce contexte, nous avons mené en 2024 trois projets de recherche regroupés dans une seule opération car présentant des difficultés communes :</w:t>
      </w:r>
    </w:p>
    <w:p w14:paraId="25FC6B0B" w14:textId="77777777" w:rsidR="000101BF" w:rsidRDefault="000101BF" w:rsidP="000101BF">
      <w:pPr>
        <w:pStyle w:val="Paragraphedeliste"/>
        <w:numPr>
          <w:ilvl w:val="0"/>
          <w:numId w:val="13"/>
        </w:numPr>
      </w:pPr>
      <w:r>
        <w:t>Notre équipe de R&amp;D a poursuivi les travaux de durcissement et surtout de qualification en environnement d’un prototype de répétiteur étanche, afin de démontrer le maintien de l’étanchéité et la robustesse mécanique sous fortes pressions, en vue d’une tenue cible à 60 bars, y compris après sollicitations vibratoires, chocs et avec prise en compte des exigences de compatibilité électromagnétique.</w:t>
      </w:r>
    </w:p>
    <w:p w14:paraId="5FA3547E" w14:textId="77777777" w:rsidR="000101BF" w:rsidRPr="00347AD5" w:rsidRDefault="000101BF" w:rsidP="000101BF">
      <w:pPr>
        <w:pStyle w:val="Paragraphedeliste"/>
        <w:numPr>
          <w:ilvl w:val="0"/>
          <w:numId w:val="13"/>
        </w:numPr>
      </w:pPr>
      <w:r>
        <w:t>Nous avons poursuivi la conception, l’intégration du premier prototype et la qualification d’un équipement CSI destiné à sécuriser la mise à feu de l’armement d’un hélicoptère militaire de la Marine nationale.</w:t>
      </w:r>
    </w:p>
    <w:p w14:paraId="3FA20B2D" w14:textId="260E4127" w:rsidR="000101BF" w:rsidRPr="000101BF" w:rsidRDefault="000101BF" w:rsidP="000101BF">
      <w:pPr>
        <w:pStyle w:val="Paragraphedeliste"/>
        <w:numPr>
          <w:ilvl w:val="0"/>
          <w:numId w:val="13"/>
        </w:numPr>
      </w:pPr>
      <w:r w:rsidRPr="00347AD5">
        <w:t>Enfin, notre équipe de R&amp;D a initié en 2024 un projet visant à développer un système de boussole électronique de type flux-</w:t>
      </w:r>
      <w:proofErr w:type="spellStart"/>
      <w:r w:rsidRPr="00347AD5">
        <w:t>gate</w:t>
      </w:r>
      <w:proofErr w:type="spellEnd"/>
      <w:r w:rsidRPr="00347AD5">
        <w:t xml:space="preserve"> capable de fournir une indication fiable du nord magnétique, y compris lors d’utilisations en hémisphère sud et sur un large spectre de latitudes.</w:t>
      </w:r>
    </w:p>
    <w:p w14:paraId="12F280FB" w14:textId="77777777" w:rsidR="00F17B37" w:rsidRPr="00CB33EC" w:rsidRDefault="00F17B37" w:rsidP="00CB33EC">
      <w:pPr>
        <w:pStyle w:val="Titre4"/>
      </w:pPr>
      <w:r w:rsidRPr="00CB33EC">
        <w:t>Présentation des connaissances existantes et accessibles.</w:t>
      </w:r>
    </w:p>
    <w:p w14:paraId="7C4ADB98" w14:textId="77777777" w:rsidR="00F17B37" w:rsidRDefault="00F17B37" w:rsidP="00F17B37">
      <w:r>
        <w:t>Avant d’initier ce projet, nous avons recherché dans la littérature scientifique des publications (articles scientifiques, brevet, thèse, etc.) traitant des problématiques proches de celles que nous avons rencontrées.</w:t>
      </w:r>
    </w:p>
    <w:p w14:paraId="5ED7622F" w14:textId="77777777" w:rsidR="00F17B37" w:rsidRDefault="00F17B37" w:rsidP="00F17B37">
      <w:r>
        <w:lastRenderedPageBreak/>
        <w:t>Nous avons décomposé notre état de l’art en trois parties, correspondant aux trois axes de difficultés rencontrées.</w:t>
      </w:r>
    </w:p>
    <w:p w14:paraId="65FA2DED" w14:textId="5BFE3B31" w:rsidR="00FA3505" w:rsidRPr="002C567E" w:rsidRDefault="00F17B37" w:rsidP="00D714B5">
      <w:pPr>
        <w:pStyle w:val="Paragraphedeliste"/>
        <w:numPr>
          <w:ilvl w:val="0"/>
          <w:numId w:val="30"/>
        </w:numPr>
        <w:spacing w:before="120" w:beforeAutospacing="0" w:after="120" w:afterAutospacing="0"/>
      </w:pPr>
      <w:r w:rsidRPr="002C567E">
        <w:t>État de l’art sur la cybersécurité des systèmes maritimes.</w:t>
      </w:r>
    </w:p>
    <w:p w14:paraId="1EC4D75D" w14:textId="34317D5A" w:rsidR="00FA3505" w:rsidRPr="00FA3505" w:rsidRDefault="00F17B37" w:rsidP="00D714B5">
      <w:pPr>
        <w:pStyle w:val="Paragraphedeliste"/>
        <w:numPr>
          <w:ilvl w:val="0"/>
          <w:numId w:val="30"/>
        </w:numPr>
      </w:pPr>
      <w:r w:rsidRPr="00FA3505">
        <w:t>État de l’art sur les systèmes électroniques tolérants aux hautes-pressions.</w:t>
      </w:r>
    </w:p>
    <w:p w14:paraId="4950F96A" w14:textId="798CF882" w:rsidR="00FA3505" w:rsidRPr="00FA3505" w:rsidRDefault="00FA3505" w:rsidP="00D714B5">
      <w:pPr>
        <w:pStyle w:val="Paragraphedeliste"/>
        <w:numPr>
          <w:ilvl w:val="0"/>
          <w:numId w:val="30"/>
        </w:numPr>
      </w:pPr>
      <w:r w:rsidRPr="000861E0">
        <w:t xml:space="preserve">État de l’art sur </w:t>
      </w:r>
      <w:r w:rsidRPr="00917290">
        <w:t>la navigation magnétique par boussole électronique (</w:t>
      </w:r>
      <w:proofErr w:type="spellStart"/>
      <w:r w:rsidRPr="00917290">
        <w:t>fluxgate</w:t>
      </w:r>
      <w:proofErr w:type="spellEnd"/>
      <w:r w:rsidRPr="00917290">
        <w:t>) en environnement contraint</w:t>
      </w:r>
      <w:r w:rsidR="00565559">
        <w:t>.</w:t>
      </w:r>
    </w:p>
    <w:p w14:paraId="26B4D6A8" w14:textId="55FA199E" w:rsidR="00CB33EC" w:rsidRPr="00CB33EC" w:rsidRDefault="00CB33EC" w:rsidP="00CB33EC">
      <w:pPr>
        <w:pStyle w:val="Titre5"/>
      </w:pPr>
      <w:r w:rsidRPr="00CB33EC">
        <w:t>État de l’art sur la cybersécurité des systèmes maritimes</w:t>
      </w:r>
      <w:r>
        <w:t>.</w:t>
      </w:r>
    </w:p>
    <w:p w14:paraId="5E502F2B" w14:textId="77777777" w:rsidR="00F17B37" w:rsidRDefault="00F17B37" w:rsidP="00F17B37">
      <w:r>
        <w:t>Le secteur maritime est confronté à une numérisation grandissante. Un navire construit au cours de la dernière décennie présente toutes les caractéristiques d'un système d'information complet, combinant technologies de l'information et technologies opérationnelles (</w:t>
      </w:r>
      <w:proofErr w:type="spellStart"/>
      <w:r>
        <w:t>Boudehenn</w:t>
      </w:r>
      <w:proofErr w:type="spellEnd"/>
      <w:r>
        <w:t xml:space="preserve"> et al. 2021)</w:t>
      </w:r>
      <w:r>
        <w:rPr>
          <w:rStyle w:val="Appelnotedebasdep"/>
        </w:rPr>
        <w:footnoteReference w:id="1"/>
      </w:r>
      <w:r>
        <w:t>. Alors que des automates programmables industriels sont utilisés pour la gestion des moteurs et de la puissance, la passerelle s'appuie désormais fortement sur des capteurs, des réseaux et des écrans numériques pour la navigation. Parallèlement, au cours des dernières années, de nombreuses cyberattaques visant les actifs maritimes confirment un réel intérêt des criminels pour ce secteur critique pour nos économies. Ce sujet a donné lieu récemment à des publications sur l’analyse des problématiques de cybersécurité dans le contexte maritime (</w:t>
      </w:r>
      <w:proofErr w:type="spellStart"/>
      <w:r>
        <w:t>Mednikarov</w:t>
      </w:r>
      <w:proofErr w:type="spellEnd"/>
      <w:r>
        <w:t xml:space="preserve"> et al. 2020)</w:t>
      </w:r>
      <w:r>
        <w:rPr>
          <w:rStyle w:val="Appelnotedebasdep"/>
        </w:rPr>
        <w:footnoteReference w:id="2"/>
      </w:r>
      <w:r>
        <w:t>.</w:t>
      </w:r>
    </w:p>
    <w:p w14:paraId="452E7AEF" w14:textId="77777777" w:rsidR="00F17B37" w:rsidRDefault="00F17B37" w:rsidP="00F17B37">
      <w:r>
        <w:t xml:space="preserve">La cybersécurité des systèmes maritimes est assurée par diverses solutions de </w:t>
      </w:r>
      <w:proofErr w:type="spellStart"/>
      <w:r>
        <w:t>cyberprotection</w:t>
      </w:r>
      <w:proofErr w:type="spellEnd"/>
      <w:r>
        <w:t xml:space="preserve"> mises en place dans l’architecture réseau associée. On y distingue une multitude d’outils (matériels ou logiciels), tels que des sondes de détection d’intrusion, de détection d’anomalies, des systèmes de gestion et de corrélation d’évènements, etc. L’ensemble des données et informations collectées est ensuite mis en perspective pour obtenir une vue tactique de la cybersécurité du système concerné. Cette vue tactique est alors supervisée par un opérateur dédié.</w:t>
      </w:r>
    </w:p>
    <w:p w14:paraId="232EF566" w14:textId="77777777" w:rsidR="00F17B37" w:rsidRDefault="00F17B37" w:rsidP="00F17B37">
      <w:r>
        <w:t xml:space="preserve">Nous souhaitons, par le développement de notre solution d’analyse temps réel de trames, apporter un outil d’aide à la décision à ces opérateurs. Sur ce thème, le papier de </w:t>
      </w:r>
      <w:proofErr w:type="spellStart"/>
      <w:r>
        <w:t>Pelissero</w:t>
      </w:r>
      <w:proofErr w:type="spellEnd"/>
      <w:r>
        <w:t xml:space="preserve"> et al. (2020)</w:t>
      </w:r>
      <w:r>
        <w:rPr>
          <w:rStyle w:val="Appelnotedebasdep"/>
        </w:rPr>
        <w:footnoteReference w:id="3"/>
      </w:r>
      <w:r>
        <w:t xml:space="preserve"> souligne la difficulté de collecter, de corréler et d’analyser les sources d’informations disponibles afin de détecter les anomalies, puis d’évaluer l’impact de leur propagation à l’échelle globale du navire. Sur cette problématique d’évaluation de la propagation d’anomalies dans un CPS maritime, l’auteur propose quelques éléments de réponse. Il note cependant en conclusion que, pour affiner l’estimation de l’impact de la propagation des anomalies détectées, il faut prendre en compte des éléments de contextualisation de ces anomalies. La qualité des données et des informations est ainsi directement liée aux contextes de décision basés sur les données, et représente selon l’auteur un défi méthodologique considérable.</w:t>
      </w:r>
    </w:p>
    <w:p w14:paraId="5B8903F9" w14:textId="77777777" w:rsidR="00F17B37" w:rsidRDefault="00F17B37" w:rsidP="00F17B37">
      <w:r>
        <w:lastRenderedPageBreak/>
        <w:t>Concernant l’identification d’intrusions, certaines études, telles que (Mathew et al. 2017)</w:t>
      </w:r>
      <w:r>
        <w:rPr>
          <w:rStyle w:val="Appelnotedebasdep"/>
        </w:rPr>
        <w:footnoteReference w:id="4"/>
      </w:r>
      <w:r>
        <w:t xml:space="preserve">, proposent d’utiliser des outils de machine </w:t>
      </w:r>
      <w:proofErr w:type="spellStart"/>
      <w:r>
        <w:t>learning</w:t>
      </w:r>
      <w:proofErr w:type="spellEnd"/>
      <w:r>
        <w:t xml:space="preserve">. Cependant, le temps de traitement des données, selon leur </w:t>
      </w:r>
      <w:r w:rsidRPr="001E6AF7">
        <w:t>complexité, peut s’avérer particulièrement long, ce qui est limitant dans le contexte de navires de guerre où la détection doit être réalisée en temps réel.</w:t>
      </w:r>
    </w:p>
    <w:p w14:paraId="6B58A54C" w14:textId="25571CAF" w:rsidR="00CB33EC" w:rsidRPr="00CB33EC" w:rsidRDefault="00F17B37" w:rsidP="00CB33EC">
      <w:pPr>
        <w:pStyle w:val="Titre6"/>
      </w:pPr>
      <w:r w:rsidRPr="00CB33EC">
        <w:t>Limites de l’état de l’art.</w:t>
      </w:r>
    </w:p>
    <w:p w14:paraId="33B09741" w14:textId="77777777" w:rsidR="00F17B37" w:rsidRPr="00877181" w:rsidRDefault="00F17B37" w:rsidP="00F17B37">
      <w:r w:rsidRPr="00877181">
        <w:t>Les limites de l’état de l’art sont ainsi liées à la collecte et au traitement en temps réel des données. Nous cherchons en effet à créer une solution qui puisse répondre rapidement à une attaque ou une panne et indiquer à l’opérateur le scénario le plus probable. Les algorithmes de détection et d’analyse que nous voulons développer seront donc nouveaux car ils devront s’adapter à ce contexte particulier des navires militaires et de la guerre électronique. Par ailleurs, comme indiqué plus haut, une évaluation pertinente des anomalies exige la prise en compte d’éléments de contexte. Pour cette raison, l’ensemble de la méthodologie que nous voulons développer devra s’appuyer sur l’expertise des utilisateurs et leur connaissance des systèmes étudiés. Ceci implique une variabilité dans l’évaluation des anomalies, sujet qui n’est pas du tout abordé dans l’état de l’art.</w:t>
      </w:r>
    </w:p>
    <w:p w14:paraId="0D15ED60" w14:textId="736371C4" w:rsidR="00CB33EC" w:rsidRPr="00CB33EC" w:rsidRDefault="00CB33EC" w:rsidP="00CB33EC">
      <w:pPr>
        <w:pStyle w:val="Titre5"/>
      </w:pPr>
      <w:r w:rsidRPr="00CB33EC">
        <w:t>État de l’art sur les systèmes électronique tolérants aux hautes-pressions</w:t>
      </w:r>
      <w:r>
        <w:t>.</w:t>
      </w:r>
    </w:p>
    <w:p w14:paraId="1943348A" w14:textId="77777777" w:rsidR="00F17B37" w:rsidRDefault="00F17B37" w:rsidP="00F17B37">
      <w:r>
        <w:t xml:space="preserve">Le défi majeur rencontré par les systèmes électroniques pour des applications en environnement sous-marin est la pression hydrostatique corrélée à la profondeur d’utilisation des équipements. Cette contrainte environnementale a encouragé le développement de systèmes électroniques tolérants à la pression (PTE) permettant le fonctionnement des équipements en environnements sous-marins. </w:t>
      </w:r>
      <w:r w:rsidRPr="00711273">
        <w:t>Ces systèmes jouent un rôle vital dans les applications sous-marines</w:t>
      </w:r>
      <w:r>
        <w:t xml:space="preserve"> notamment militaires et nécessitent une conception</w:t>
      </w:r>
      <w:r w:rsidRPr="00711273">
        <w:t xml:space="preserve"> robuste pour résister aux hautes pressions</w:t>
      </w:r>
      <w:r>
        <w:t>.</w:t>
      </w:r>
    </w:p>
    <w:p w14:paraId="42436095" w14:textId="77777777" w:rsidR="00F17B37" w:rsidRDefault="00F17B37" w:rsidP="00F17B37">
      <w:proofErr w:type="spellStart"/>
      <w:r>
        <w:t>Holzschuh</w:t>
      </w:r>
      <w:proofErr w:type="spellEnd"/>
      <w:r>
        <w:t xml:space="preserve"> (1977)</w:t>
      </w:r>
      <w:r>
        <w:rPr>
          <w:rStyle w:val="Appelnotedebasdep"/>
        </w:rPr>
        <w:footnoteReference w:id="5"/>
      </w:r>
      <w:r>
        <w:t xml:space="preserve"> illustre dans son étude l’implémentation réussie de plusieurs systèmes PTE dans des conditions sous-marines, démontrant la nécessité de concevoir des systèmes adaptés à ces conditions environnementales extrêmes afin de garantir la fiabilité des équipements. Il note l’importance du développement de composants électroniques adaptés pour respecter les obligations de performance, de taille et de masse tout en répondant au défi de pression, une composante essentielle dans la conception de cartes électroniques destinées à des environnements sous-marin. </w:t>
      </w:r>
    </w:p>
    <w:p w14:paraId="2DDD14CA" w14:textId="77777777" w:rsidR="00F17B37" w:rsidRDefault="00F17B37" w:rsidP="00F17B37">
      <w:r>
        <w:t>Sutton (1979)</w:t>
      </w:r>
      <w:r>
        <w:rPr>
          <w:rStyle w:val="Appelnotedebasdep"/>
        </w:rPr>
        <w:footnoteReference w:id="6"/>
      </w:r>
      <w:r>
        <w:t xml:space="preserve"> confirme la fiabilité des PTE mais souligne des défis persistants liés à la dissipation de chaleur et à la miniaturisation des composants. L'intégration électrique et mécanique dans de tels systèmes nécessitant une approche minutieuse pour surmonter ces défis. Il insiste sur l’importance d’une étude préliminaire pour confirmer la nécessité de l’usage de PTE et d’une conception éclairée afin de garantir l</w:t>
      </w:r>
      <w:r w:rsidRPr="0037711B">
        <w:t>es avantages opérationnels</w:t>
      </w:r>
      <w:r>
        <w:t xml:space="preserve"> qu’ils apportent en</w:t>
      </w:r>
      <w:r w:rsidRPr="0037711B">
        <w:t xml:space="preserve"> </w:t>
      </w:r>
      <w:r>
        <w:t xml:space="preserve">prévenant les </w:t>
      </w:r>
      <w:r w:rsidRPr="0037711B">
        <w:t xml:space="preserve">fuites et </w:t>
      </w:r>
      <w:r>
        <w:t>en</w:t>
      </w:r>
      <w:r w:rsidRPr="0037711B">
        <w:t xml:space="preserve"> facilit</w:t>
      </w:r>
      <w:r>
        <w:t>ant</w:t>
      </w:r>
      <w:r w:rsidRPr="0037711B">
        <w:t xml:space="preserve"> </w:t>
      </w:r>
      <w:r>
        <w:t>l</w:t>
      </w:r>
      <w:r w:rsidRPr="0037711B">
        <w:t xml:space="preserve">'entretien et </w:t>
      </w:r>
      <w:r>
        <w:t>la</w:t>
      </w:r>
      <w:r w:rsidRPr="0037711B">
        <w:t xml:space="preserve"> réparation, </w:t>
      </w:r>
      <w:r>
        <w:t xml:space="preserve">ce </w:t>
      </w:r>
      <w:r w:rsidRPr="0037711B">
        <w:t xml:space="preserve">qui </w:t>
      </w:r>
      <w:r>
        <w:t>permettra une</w:t>
      </w:r>
      <w:r w:rsidRPr="0037711B">
        <w:t xml:space="preserve"> rentab</w:t>
      </w:r>
      <w:r>
        <w:t>ilité</w:t>
      </w:r>
      <w:r w:rsidRPr="0037711B">
        <w:t xml:space="preserve"> à long terme</w:t>
      </w:r>
      <w:r>
        <w:t xml:space="preserve"> des équipements</w:t>
      </w:r>
      <w:r w:rsidRPr="0037711B">
        <w:t>.</w:t>
      </w:r>
    </w:p>
    <w:p w14:paraId="15734900" w14:textId="77777777" w:rsidR="00F17B37" w:rsidRDefault="00F17B37" w:rsidP="00F17B37">
      <w:r>
        <w:lastRenderedPageBreak/>
        <w:t xml:space="preserve">L'étude de </w:t>
      </w:r>
      <w:proofErr w:type="spellStart"/>
      <w:r>
        <w:t>Lück</w:t>
      </w:r>
      <w:proofErr w:type="spellEnd"/>
      <w:r>
        <w:t xml:space="preserve"> et al. (2010)</w:t>
      </w:r>
      <w:r>
        <w:rPr>
          <w:rStyle w:val="Appelnotedebasdep"/>
        </w:rPr>
        <w:footnoteReference w:id="7"/>
      </w:r>
      <w:r>
        <w:t xml:space="preserve"> met en avant l’utilisation d’une nouvelle approche concernant les systèmes tolérants à la pression. </w:t>
      </w:r>
      <w:r w:rsidRPr="007018E9">
        <w:t>L'utilisation de coques</w:t>
      </w:r>
      <w:r>
        <w:t xml:space="preserve"> étanches et</w:t>
      </w:r>
      <w:r w:rsidRPr="007018E9">
        <w:t xml:space="preserve"> </w:t>
      </w:r>
      <w:r>
        <w:t xml:space="preserve">rigides </w:t>
      </w:r>
      <w:r w:rsidRPr="007018E9">
        <w:t xml:space="preserve">pour maintenir la pression ambiante pour les composants </w:t>
      </w:r>
      <w:r>
        <w:t xml:space="preserve">contenus dans le système </w:t>
      </w:r>
      <w:r w:rsidRPr="007018E9">
        <w:t>est une technologie de pointe</w:t>
      </w:r>
      <w:r>
        <w:t>. Cependant c</w:t>
      </w:r>
      <w:r w:rsidRPr="007018E9">
        <w:t xml:space="preserve">es </w:t>
      </w:r>
      <w:r>
        <w:t>enveloppes</w:t>
      </w:r>
      <w:r w:rsidRPr="007018E9">
        <w:t xml:space="preserve"> de pression</w:t>
      </w:r>
      <w:r>
        <w:t>,</w:t>
      </w:r>
      <w:r w:rsidRPr="007018E9">
        <w:t xml:space="preserve"> pour</w:t>
      </w:r>
      <w:r>
        <w:t xml:space="preserve"> s’adapter aux contraintes apportées par d</w:t>
      </w:r>
      <w:r w:rsidRPr="007018E9">
        <w:t>es applications en haute mer</w:t>
      </w:r>
      <w:r>
        <w:t>,</w:t>
      </w:r>
      <w:r w:rsidRPr="007018E9">
        <w:t xml:space="preserve"> doivent avoir des parois épaisses afin de résister à la pression extrême, ce qui les rend lourdes et encombrantes.</w:t>
      </w:r>
    </w:p>
    <w:p w14:paraId="02C440A6" w14:textId="77777777" w:rsidR="00F17B37" w:rsidRDefault="00F17B37" w:rsidP="00F17B37">
      <w:r>
        <w:t>Pour remédier à ces contraintes l’étude propose l’utilisation de systèmes</w:t>
      </w:r>
      <w:r w:rsidRPr="007018E9">
        <w:t xml:space="preserve"> transmettant la pression à tous les composants</w:t>
      </w:r>
      <w:r>
        <w:t>.</w:t>
      </w:r>
      <w:r w:rsidRPr="007018E9">
        <w:t xml:space="preserve"> </w:t>
      </w:r>
      <w:r>
        <w:t xml:space="preserve">Ainsi </w:t>
      </w:r>
      <w:r w:rsidRPr="007018E9">
        <w:t>aucune différence de pression n'existe entre l'eau de mer environnante et les composants</w:t>
      </w:r>
      <w:r>
        <w:t>. Cependant afin de garantir le bon fonctionnement de cette méthode</w:t>
      </w:r>
      <w:r w:rsidRPr="007018E9">
        <w:t>, chaque composant doit résister individuellement à la pression.</w:t>
      </w:r>
    </w:p>
    <w:p w14:paraId="3DF0C3E5" w14:textId="77777777" w:rsidR="00F17B37" w:rsidRDefault="00F17B37" w:rsidP="00F17B37">
      <w:r>
        <w:t xml:space="preserve">Enfin, </w:t>
      </w:r>
      <w:proofErr w:type="spellStart"/>
      <w:r>
        <w:t>Kampmann</w:t>
      </w:r>
      <w:proofErr w:type="spellEnd"/>
      <w:r>
        <w:t xml:space="preserve"> et al. (2012)</w:t>
      </w:r>
      <w:r>
        <w:rPr>
          <w:rStyle w:val="Appelnotedebasdep"/>
        </w:rPr>
        <w:footnoteReference w:id="8"/>
      </w:r>
      <w:r>
        <w:t xml:space="preserve"> proposent une approche hybride pour les PTE, combinant des systèmes tolérants à la pression avec des enveloppes de pression. Cette approche offre de nombreux avantages en permettant la conception de systèmes compacts et rentables, toutefois elle expose également les solutions à des défis liés à la résistance à la pression et au choix des matériaux. </w:t>
      </w:r>
    </w:p>
    <w:p w14:paraId="58980CBF" w14:textId="77777777" w:rsidR="00F17B37" w:rsidRDefault="00F17B37" w:rsidP="00F17B37">
      <w:r>
        <w:t>Des recherches plus récentes viennent compléter et approfondir ces travaux. Li et al. (2022)</w:t>
      </w:r>
      <w:r>
        <w:rPr>
          <w:rStyle w:val="Appelnotedebasdep"/>
        </w:rPr>
        <w:footnoteReference w:id="9"/>
      </w:r>
      <w:r>
        <w:t xml:space="preserve"> développent des capteurs souples encapsulés dans un élastomère infusé à l’huile, démontrant une tolérance à des pressions allant jusqu’à 15 MPa tout en maintenant des performances de détection stables sur plusieurs mois, sans nécessiter de chambre de pression. De leur côté, Brink et </w:t>
      </w:r>
      <w:proofErr w:type="spellStart"/>
      <w:r>
        <w:t>Körner</w:t>
      </w:r>
      <w:proofErr w:type="spellEnd"/>
      <w:r>
        <w:t xml:space="preserve"> (2020)</w:t>
      </w:r>
      <w:r>
        <w:rPr>
          <w:rStyle w:val="Appelnotedebasdep"/>
        </w:rPr>
        <w:footnoteReference w:id="10"/>
      </w:r>
      <w:r>
        <w:t xml:space="preserve"> décrivent les limitations des enveloppes rigides dans les </w:t>
      </w:r>
      <w:proofErr w:type="spellStart"/>
      <w:r>
        <w:t>AUVs</w:t>
      </w:r>
      <w:proofErr w:type="spellEnd"/>
      <w:r>
        <w:t xml:space="preserve"> </w:t>
      </w:r>
      <w:r w:rsidRPr="00A5764B">
        <w:t>(</w:t>
      </w:r>
      <w:proofErr w:type="spellStart"/>
      <w:r w:rsidRPr="00FA6773">
        <w:t>autonomous</w:t>
      </w:r>
      <w:proofErr w:type="spellEnd"/>
      <w:r w:rsidRPr="00FA6773">
        <w:t xml:space="preserve"> </w:t>
      </w:r>
      <w:proofErr w:type="spellStart"/>
      <w:r w:rsidRPr="00FA6773">
        <w:t>underwater</w:t>
      </w:r>
      <w:proofErr w:type="spellEnd"/>
      <w:r w:rsidRPr="00FA6773">
        <w:t xml:space="preserve"> </w:t>
      </w:r>
      <w:proofErr w:type="spellStart"/>
      <w:r w:rsidRPr="00FA6773">
        <w:t>vehicle</w:t>
      </w:r>
      <w:proofErr w:type="spellEnd"/>
      <w:r>
        <w:t>)</w:t>
      </w:r>
      <w:r w:rsidRPr="00FA6773">
        <w:t> </w:t>
      </w:r>
      <w:r>
        <w:t xml:space="preserve"> et préconisent le développement de systèmes « pressure-neutral » ou utilisant des matériaux composites pour optimiser la flottabilité et la compacité des structures.</w:t>
      </w:r>
    </w:p>
    <w:p w14:paraId="5C2DE316" w14:textId="77777777" w:rsidR="00F17B37" w:rsidRDefault="00F17B37" w:rsidP="00F17B37">
      <w:proofErr w:type="spellStart"/>
      <w:r>
        <w:t>Jinjun</w:t>
      </w:r>
      <w:proofErr w:type="spellEnd"/>
      <w:r>
        <w:t xml:space="preserve"> et al. (2021)</w:t>
      </w:r>
      <w:r>
        <w:rPr>
          <w:rStyle w:val="Appelnotedebasdep"/>
        </w:rPr>
        <w:footnoteReference w:id="11"/>
      </w:r>
      <w:r>
        <w:t xml:space="preserve"> proposent un dispositif de transmission de puissance étanche pour AUV, intégrant un caisson de pression conçu pour éviter les fuites tout en résistant aux efforts mécaniques des grandes profondeurs. La validation numérique via éléments finis renforce la pertinence de cette approche pour des équipements embarqués en environnement profond.</w:t>
      </w:r>
    </w:p>
    <w:p w14:paraId="676DABD1" w14:textId="77777777" w:rsidR="00F17B37" w:rsidRDefault="00F17B37" w:rsidP="00F17B37">
      <w:r>
        <w:t>Enfin, Wang et al. (2022)</w:t>
      </w:r>
      <w:r>
        <w:rPr>
          <w:rStyle w:val="Appelnotedebasdep"/>
        </w:rPr>
        <w:footnoteReference w:id="12"/>
      </w:r>
      <w:r>
        <w:t xml:space="preserve"> développent un moteur électrique encapsulé et rempli d’huile diélectrique pour une utilisation à 10 000 m de profondeur. Grâce à un diaphragme de compensation, l’équipement fonctionne sans différence de pression interne, avec des performances thermiques et mécaniques </w:t>
      </w:r>
      <w:r>
        <w:lastRenderedPageBreak/>
        <w:t>stables. Le choix de l’huile (</w:t>
      </w:r>
      <w:proofErr w:type="spellStart"/>
      <w:r>
        <w:t>diméthicone</w:t>
      </w:r>
      <w:proofErr w:type="spellEnd"/>
      <w:r>
        <w:t>) et la gestion du frottement au niveau des joints tournants sont cruciaux dans ce contexte.</w:t>
      </w:r>
    </w:p>
    <w:p w14:paraId="4A9BAB3F" w14:textId="4321FE6F" w:rsidR="00F17B37" w:rsidRDefault="00F17B37" w:rsidP="00CB33EC">
      <w:r>
        <w:t xml:space="preserve">Dans le cadre de nos développements, nous ne pouvons pas réutiliser directement les solutions décrites ci-dessus, notamment les systèmes à fluide diélectrique ou à </w:t>
      </w:r>
      <w:proofErr w:type="spellStart"/>
      <w:r>
        <w:t>potting</w:t>
      </w:r>
      <w:proofErr w:type="spellEnd"/>
      <w:r>
        <w:t xml:space="preserve"> intégral. Bien que performantes en termes de résistance à la pression, ces approches ne répondent pas à l’ensemble de nos contraintes fonctionnelles et d’intégration. En effet, notre solution à protéger comporte </w:t>
      </w:r>
      <w:r>
        <w:rPr>
          <w:rStyle w:val="lev"/>
        </w:rPr>
        <w:t>un écran, des boutons de commande et un connecteur étanche</w:t>
      </w:r>
      <w:r>
        <w:t xml:space="preserve">, soit des interfaces sensibles à la pression mais également </w:t>
      </w:r>
      <w:r>
        <w:rPr>
          <w:rStyle w:val="lev"/>
        </w:rPr>
        <w:t>exposées à l’utilisateur final</w:t>
      </w:r>
      <w:r>
        <w:t xml:space="preserve">, ce qui exclut tout confinement permanent dans un fluide ou dans une résine. Les enveloppes rigides pressurisées évoquées apportent quant à elles une réponse sur la tenue à la pression, mais leur </w:t>
      </w:r>
      <w:r>
        <w:rPr>
          <w:rStyle w:val="lev"/>
        </w:rPr>
        <w:t>encombrement</w:t>
      </w:r>
      <w:r>
        <w:t xml:space="preserve">, </w:t>
      </w:r>
      <w:r>
        <w:rPr>
          <w:rStyle w:val="lev"/>
        </w:rPr>
        <w:t>poids</w:t>
      </w:r>
      <w:r>
        <w:t xml:space="preserve"> et les exigences de </w:t>
      </w:r>
      <w:r>
        <w:rPr>
          <w:rStyle w:val="lev"/>
        </w:rPr>
        <w:t>parois épaisses</w:t>
      </w:r>
      <w:r>
        <w:t xml:space="preserve"> ne permettent pas l’intégration dans l’environnement final.</w:t>
      </w:r>
    </w:p>
    <w:p w14:paraId="319321DF" w14:textId="537552E0" w:rsidR="00CB33EC" w:rsidRPr="00CB33EC" w:rsidRDefault="00CB33EC" w:rsidP="00CB33EC">
      <w:pPr>
        <w:pStyle w:val="Titre6"/>
      </w:pPr>
      <w:r w:rsidRPr="00CB33EC">
        <w:t>Limites de l’état de l’art</w:t>
      </w:r>
      <w:r>
        <w:t>.</w:t>
      </w:r>
    </w:p>
    <w:p w14:paraId="51055C63" w14:textId="77777777" w:rsidR="00F17B37" w:rsidRDefault="00F17B37" w:rsidP="00F17B37">
      <w:r>
        <w:t>Bien que des progrès significatifs aient été réalisés dans le développement de systèmes électroniques résistants aux hautes pressions, des défis subsistent. Les problèmes spécifiques liés aux composants électroniques, à la dissipation de chaleur, à la miniaturisation des composants, ainsi qu'à la rigidité ou la flexibilité des systèmes, soulignent la pertinence continue de la recherche pour surmonter ces obstacles. Ces défis sont intrinsèquement liés à la conception de cartes électroniques pour des applications sous-marines, nécessitant une approche holistique et novatrice pour garantir la fiabilité et les performances des systèmes électroniques dans des environnements soumis à des pressions extrêmes.</w:t>
      </w:r>
    </w:p>
    <w:p w14:paraId="74A65160" w14:textId="21B506D9" w:rsidR="00FA3505" w:rsidRPr="00CB33EC" w:rsidRDefault="00FA3505" w:rsidP="00CB33EC">
      <w:pPr>
        <w:pStyle w:val="Titre5"/>
      </w:pPr>
      <w:r w:rsidRPr="00CB33EC">
        <w:t>État de l’art sur la navigation magnétique par boussole électronique en environnement contraint</w:t>
      </w:r>
    </w:p>
    <w:p w14:paraId="551D0C3F" w14:textId="3B0CF75B" w:rsidR="00FA3505" w:rsidRPr="00917290" w:rsidRDefault="00FA3505" w:rsidP="00FA3505">
      <w:r w:rsidRPr="00917290">
        <w:t>La détermination fiable du cap à l’aid</w:t>
      </w:r>
      <w:r w:rsidRPr="00DF7C60">
        <w:t>e d’une boussole électronique repose sur la mesure du champ géomagnétique au moyen d’un magnétomètre tri-axes (</w:t>
      </w:r>
      <w:proofErr w:type="spellStart"/>
      <w:r w:rsidRPr="00DF7C60">
        <w:t>fluxgate</w:t>
      </w:r>
      <w:proofErr w:type="spellEnd"/>
      <w:r w:rsidRPr="00DF7C60">
        <w:t xml:space="preserve"> ou MEMS), puis sur la conversion de ce vecteur mesuré en une information de cap (</w:t>
      </w:r>
      <w:proofErr w:type="spellStart"/>
      <w:r w:rsidRPr="00DF7C60">
        <w:t>heading</w:t>
      </w:r>
      <w:proofErr w:type="spellEnd"/>
      <w:r w:rsidRPr="00DF7C60">
        <w:t>). Dans un contexte embarqué, cette information est critique pour la navigation, mais elle reste sensible à de nombreux facteurs : la variabilité géographique du champ terrestre (intensité, inclinaison et déclinaison), les biais et non-idéalités instrumentales du capteur (offset, facteurs d’échelle, non-orthogonalité), et les perturbations électromagnétiques liées à l’environnement opérationnel (structures ferromagnétiques, équipements électriques, émissions radar, etc.).</w:t>
      </w:r>
    </w:p>
    <w:p w14:paraId="7BD0D4C3" w14:textId="21927CF7" w:rsidR="00FA3505" w:rsidRPr="00917290" w:rsidRDefault="00FA3505" w:rsidP="00FA3505">
      <w:r w:rsidRPr="00917290">
        <w:t xml:space="preserve">Un premier socle de l’état de l’art consiste à </w:t>
      </w:r>
      <w:r w:rsidRPr="00DF7C60">
        <w:t>caractériser la variabilité globale du champ géomagnétique. Les modèles de référence tels que le World Magnetic Model (WMM) décrivent l’évolution spatio-temporelle des composantes du champ terrestre, ainsi que les grandeurs clés utilisées en navigation (inclinaison, déclinaison, intensité). Ces modèles permettent d’expliquer pourquoi les performances d’un cap magnétique ne peuvent pas être supposées identiques entre zones géographiques : la norme du champ et l’inclinaison varient fortement selon la latitude, et l’inclinaison change de signe entre hémisphère nord et hémisphère sud (</w:t>
      </w:r>
      <w:proofErr w:type="spellStart"/>
      <w:r w:rsidRPr="00DF7C60">
        <w:t>Chulliat</w:t>
      </w:r>
      <w:proofErr w:type="spellEnd"/>
      <w:r w:rsidRPr="00DF7C60">
        <w:t xml:space="preserve"> et al., 2020</w:t>
      </w:r>
      <w:r>
        <w:t>,</w:t>
      </w:r>
      <w:r w:rsidRPr="00DF7C60">
        <w:t xml:space="preserve"> WMM2020)</w:t>
      </w:r>
      <w:r w:rsidRPr="00DF7C60">
        <w:rPr>
          <w:rStyle w:val="ParagraphedelisteCar"/>
          <w:rFonts w:eastAsiaTheme="minorHAnsi"/>
        </w:rPr>
        <w:t xml:space="preserve"> </w:t>
      </w:r>
      <w:r>
        <w:rPr>
          <w:rStyle w:val="Appelnotedebasdep"/>
        </w:rPr>
        <w:footnoteReference w:id="13"/>
      </w:r>
      <w:r w:rsidRPr="00DF7C60">
        <w:t>. Cette variabilité impose, dans les systèmes de cap, une gestion rigoureuse des repères, de la compensation d’attitude (tilt compensation) et de la cohérence des traitements lors des transitions globales.</w:t>
      </w:r>
    </w:p>
    <w:p w14:paraId="4EFC2DCE" w14:textId="0BD0D558" w:rsidR="00FA3505" w:rsidRPr="00917290" w:rsidRDefault="00FA3505" w:rsidP="00FA3505">
      <w:r w:rsidRPr="00917290">
        <w:lastRenderedPageBreak/>
        <w:t xml:space="preserve">Au-delà du modèle </w:t>
      </w:r>
      <w:r w:rsidRPr="00DF7C60">
        <w:t>géomagnétique, l’état de l’art montre que la précision d’un cap dépend largement de la capacité à calibrer le magnétomètre. Les méthodes de calibration visent à compenser les effets dits hard-</w:t>
      </w:r>
      <w:proofErr w:type="spellStart"/>
      <w:r w:rsidRPr="00DF7C60">
        <w:t>iron</w:t>
      </w:r>
      <w:proofErr w:type="spellEnd"/>
      <w:r w:rsidRPr="00DF7C60">
        <w:t xml:space="preserve"> (biais dû à des champs constants produits par l’environnement proche) et soft-</w:t>
      </w:r>
      <w:proofErr w:type="spellStart"/>
      <w:r w:rsidRPr="00DF7C60">
        <w:t>iron</w:t>
      </w:r>
      <w:proofErr w:type="spellEnd"/>
      <w:r w:rsidRPr="00DF7C60">
        <w:t xml:space="preserve"> (déformation du champ par des matériaux ferromagnétiques), ainsi que les facteurs d’échelle et la non-orthogonalité. Des approches temps réel existent, cherchant à réduire la dépendance à des procédures de calibration “batch” lourdes et à permettre une adaptation en conditions opérationnelles. Par exemple, Cao et al. (2020)</w:t>
      </w:r>
      <w:r w:rsidRPr="001D3B08">
        <w:rPr>
          <w:rStyle w:val="Appelnotedebasdep"/>
        </w:rPr>
        <w:t xml:space="preserve"> </w:t>
      </w:r>
      <w:r>
        <w:rPr>
          <w:rStyle w:val="Appelnotedebasdep"/>
        </w:rPr>
        <w:footnoteReference w:id="14"/>
      </w:r>
      <w:r w:rsidRPr="00DF7C60">
        <w:t xml:space="preserve"> proposent une calibration en temps réel combinant une estimation récursive (RLS) et une optimisation de type maximum de vraisemblance, mettant en avant des gains en coût de calcul et une mise à jour progressive des paramètres. Néanmoins, ces approches restent liées à la qualité des données d’excitation (distribution des orientations, couverture suffisante de l’ellipsoïde) et peuvent se dégrader lorsque les manœuvres ne permettent pas d’exciter convenablement toutes les directions.</w:t>
      </w:r>
    </w:p>
    <w:p w14:paraId="3EC9E667" w14:textId="65953AA0" w:rsidR="00FA3505" w:rsidRPr="00DF7C60" w:rsidRDefault="00FA3505" w:rsidP="00FA3505">
      <w:r w:rsidRPr="00917290">
        <w:t xml:space="preserve">Lorsque la boussole est couplée à une centrale </w:t>
      </w:r>
      <w:r w:rsidRPr="00DF7C60">
        <w:t>inertielle (IMU/INS) ou à un module d’estimation d’attitude, une autre difficulté apparaît : le désalignement entre les repères du magnétomètre et ceux de l’INS. Li et al. (2020)</w:t>
      </w:r>
      <w:r w:rsidRPr="001D3B08">
        <w:rPr>
          <w:rStyle w:val="Appelnotedebasdep"/>
        </w:rPr>
        <w:t xml:space="preserve"> </w:t>
      </w:r>
      <w:r>
        <w:rPr>
          <w:rStyle w:val="Appelnotedebasdep"/>
        </w:rPr>
        <w:footnoteReference w:id="15"/>
      </w:r>
      <w:r w:rsidRPr="00DF7C60">
        <w:t xml:space="preserve"> s’intéressent à cette erreur de </w:t>
      </w:r>
      <w:proofErr w:type="spellStart"/>
      <w:r w:rsidRPr="00DF7C60">
        <w:t>misalignment</w:t>
      </w:r>
      <w:proofErr w:type="spellEnd"/>
      <w:r w:rsidRPr="00DF7C60">
        <w:t xml:space="preserve"> dans un système de mesure tri-composantes et proposent une méthode d’estimation paramétrique par moindres carrés non linéaires, avec l’objectif d’améliorer l’opérabilité (calibration réalisable avec une unique séquence de rotation). Là encore, les auteurs mettent en évidence la dépendance à la qualité de la trajectoire de calibration (planéité, bruit, erreurs d’outillage), ce qui constitue un point critique dès lors que la calibration doit être déployée sur des moyens d’essais imparfaits ou sur un porteur.</w:t>
      </w:r>
    </w:p>
    <w:p w14:paraId="1D6FA62D" w14:textId="1F0A79B3" w:rsidR="00FA3505" w:rsidRPr="00917290" w:rsidRDefault="00FA3505" w:rsidP="00FA3505">
      <w:r w:rsidRPr="00917290">
        <w:t>La littérature sur l’estimation d’attitude et de cap (AHRS) montre également que la robustesse au bruit et aux perturbations repose sur des algorithmes de fusion capteurs (gyro/acc/</w:t>
      </w:r>
      <w:proofErr w:type="spellStart"/>
      <w:r w:rsidRPr="00917290">
        <w:t>mag</w:t>
      </w:r>
      <w:proofErr w:type="spellEnd"/>
      <w:r w:rsidRPr="00917290">
        <w:t xml:space="preserve">). </w:t>
      </w:r>
      <w:proofErr w:type="spellStart"/>
      <w:r w:rsidRPr="00917290">
        <w:t>Boorghan</w:t>
      </w:r>
      <w:proofErr w:type="spellEnd"/>
      <w:r w:rsidRPr="00917290">
        <w:t xml:space="preserve"> </w:t>
      </w:r>
      <w:proofErr w:type="spellStart"/>
      <w:r w:rsidRPr="00917290">
        <w:t>Farahan</w:t>
      </w:r>
      <w:proofErr w:type="spellEnd"/>
      <w:r w:rsidRPr="00917290">
        <w:t xml:space="preserve"> et al. (2022)</w:t>
      </w:r>
      <w:r>
        <w:rPr>
          <w:rStyle w:val="Appelnotedebasdep"/>
        </w:rPr>
        <w:footnoteReference w:id="16"/>
      </w:r>
      <w:r w:rsidRPr="00DF7C60">
        <w:t xml:space="preserve"> </w:t>
      </w:r>
      <w:r w:rsidRPr="00917290">
        <w:t xml:space="preserve"> proposent un EKF quaternion intégrant explicitement des biais (gyroscope, accéléromètre et magnétomètre) et un mécanisme d’amélioration par “covariance inflation”, montrant une réduction de bruit et une estimation plus stable. Cependant, l’étude met aussi en évidence une sensibilité aux conditions initiales, typique des filtres non linéaires, et la question de la vérité terrain reste souvent délicate en environnement réel. D’autres travaux récents explorent des approches hybrides combinant des filtres d’estimation classiques et des modèles data-</w:t>
      </w:r>
      <w:proofErr w:type="spellStart"/>
      <w:r w:rsidRPr="00917290">
        <w:t>driven</w:t>
      </w:r>
      <w:proofErr w:type="spellEnd"/>
      <w:r w:rsidRPr="00917290">
        <w:t xml:space="preserve"> pour traiter la dynamique et les perturbations magnétiques : Bo et al. (2023)</w:t>
      </w:r>
      <w:r w:rsidRPr="001D3B08">
        <w:rPr>
          <w:rStyle w:val="Appelnotedebasdep"/>
        </w:rPr>
        <w:t xml:space="preserve"> </w:t>
      </w:r>
      <w:r>
        <w:rPr>
          <w:rStyle w:val="Appelnotedebasdep"/>
        </w:rPr>
        <w:footnoteReference w:id="17"/>
      </w:r>
      <w:r w:rsidRPr="00917290">
        <w:t xml:space="preserve"> utilisent par exemple un réseau convolutif temporel (TCN) pour “corriger” les signaux puis un filtre complémentaire modifié, avec de bonnes performances sur des </w:t>
      </w:r>
      <w:proofErr w:type="spellStart"/>
      <w:r w:rsidRPr="00917290">
        <w:t>datasets</w:t>
      </w:r>
      <w:proofErr w:type="spellEnd"/>
      <w:r w:rsidRPr="00917290">
        <w:t xml:space="preserve"> publics. Néanmoins, ces approches soulèvent des enjeux de généralisation (</w:t>
      </w:r>
      <w:proofErr w:type="spellStart"/>
      <w:r w:rsidRPr="00917290">
        <w:t>domain</w:t>
      </w:r>
      <w:proofErr w:type="spellEnd"/>
      <w:r w:rsidRPr="00917290">
        <w:t xml:space="preserve"> shift), de dépendance à des jeux de données annotés, et de transférabilité vers un environnement industriel fortement perturbé (cas d’émissions radar, interférences non stationnaires, configurations mécaniques/électriques spécifiques).</w:t>
      </w:r>
    </w:p>
    <w:p w14:paraId="5F46CAD6" w14:textId="77777777" w:rsidR="00FA3505" w:rsidRPr="00917290" w:rsidRDefault="00FA3505" w:rsidP="00FA3505">
      <w:r w:rsidRPr="00917290">
        <w:t xml:space="preserve">Enfin, l’état de l’art souligne l’importance des moyens de test et de validation. Les calibrations au banc s’appuient fréquemment sur des bobines (type Helmholtz) censées générer un champ contrôlé. Dans </w:t>
      </w:r>
      <w:r w:rsidRPr="00917290">
        <w:lastRenderedPageBreak/>
        <w:t>les faits, les imperfections d’orthogonalité et les erreurs d’alignement peuvent limiter la qualité des calibrations. Choi et al. (2024)</w:t>
      </w:r>
      <w:r w:rsidRPr="001D3B08">
        <w:rPr>
          <w:rStyle w:val="Appelnotedebasdep"/>
        </w:rPr>
        <w:t xml:space="preserve"> </w:t>
      </w:r>
      <w:r>
        <w:rPr>
          <w:rStyle w:val="Appelnotedebasdep"/>
        </w:rPr>
        <w:footnoteReference w:id="18"/>
      </w:r>
      <w:r w:rsidRPr="00917290">
        <w:t xml:space="preserve"> proposent une stratégie de calibration au sol d’un </w:t>
      </w:r>
      <w:proofErr w:type="spellStart"/>
      <w:r w:rsidRPr="00917290">
        <w:t>fluxgate</w:t>
      </w:r>
      <w:proofErr w:type="spellEnd"/>
      <w:r w:rsidRPr="00917290">
        <w:t xml:space="preserve"> tri-axes embarqué, incluant une correction d’orthogonalité via matrice de correction et une approche pragmatique d’application du champ (pilotage principalement d’un axe, les autres servant à compenser le champ terrestre). Ce type de méthodologie illustre bien que la robustesse finale </w:t>
      </w:r>
      <w:proofErr w:type="gramStart"/>
      <w:r w:rsidRPr="00917290">
        <w:t>dépend</w:t>
      </w:r>
      <w:proofErr w:type="gramEnd"/>
      <w:r w:rsidRPr="00917290">
        <w:t xml:space="preserve"> autant des algorithmes que de la capacité à produire des essais représentatifs et </w:t>
      </w:r>
      <w:proofErr w:type="spellStart"/>
      <w:r w:rsidRPr="00917290">
        <w:t>métrologiquement</w:t>
      </w:r>
      <w:proofErr w:type="spellEnd"/>
      <w:r w:rsidRPr="00917290">
        <w:t xml:space="preserve"> maîtrisés.</w:t>
      </w:r>
    </w:p>
    <w:p w14:paraId="39E06050" w14:textId="77777777" w:rsidR="00FA3505" w:rsidRPr="00CB33EC" w:rsidRDefault="00FA3505" w:rsidP="00CB33EC">
      <w:pPr>
        <w:pStyle w:val="Titre6"/>
      </w:pPr>
      <w:r w:rsidRPr="00CB33EC">
        <w:t>Limites de l’état de l’art</w:t>
      </w:r>
    </w:p>
    <w:p w14:paraId="6FDBBE77" w14:textId="77777777" w:rsidR="00FA3505" w:rsidRPr="00917290" w:rsidRDefault="00FA3505" w:rsidP="00FA3505">
      <w:r w:rsidRPr="00917290">
        <w:t xml:space="preserve">Malgré la richesse des travaux existants sur la calibration des magnétomètres, l’estimation de cap et la correction d’erreurs (hard/soft </w:t>
      </w:r>
      <w:proofErr w:type="spellStart"/>
      <w:r w:rsidRPr="00917290">
        <w:t>iron</w:t>
      </w:r>
      <w:proofErr w:type="spellEnd"/>
      <w:r w:rsidRPr="00917290">
        <w:t xml:space="preserve">, non-orthogonalité, </w:t>
      </w:r>
      <w:proofErr w:type="spellStart"/>
      <w:r w:rsidRPr="00917290">
        <w:t>misalignment</w:t>
      </w:r>
      <w:proofErr w:type="spellEnd"/>
      <w:r w:rsidRPr="00917290">
        <w:t>), plusieurs limites majeures subsistent au regard de notre contexte d’emploi :</w:t>
      </w:r>
    </w:p>
    <w:p w14:paraId="5C26E087" w14:textId="77777777" w:rsidR="00FA3505" w:rsidRPr="00917290" w:rsidRDefault="00FA3505" w:rsidP="00FA3505">
      <w:pPr>
        <w:pStyle w:val="Paragraphedeliste"/>
        <w:numPr>
          <w:ilvl w:val="0"/>
          <w:numId w:val="23"/>
        </w:numPr>
      </w:pPr>
      <w:r w:rsidRPr="00917290">
        <w:rPr>
          <w:b/>
          <w:bCs/>
        </w:rPr>
        <w:t>Variabilité globale et transitions géographiques</w:t>
      </w:r>
      <w:r w:rsidRPr="00917290">
        <w:t xml:space="preserve"> : les modèles géomagnétiques (WMM) caractérisent la variabilité du champ (inclinaison/déclinaison/intensité) et expliquent les différences de comportement entre régions. Cependant, ils ne fournissent pas une solution “clé en main” pour garantir un cap fiable lors de transitions globales (incluant le passage d’un hémisphère à l’autre), surtout lorsque la mesure est affectée par des biais capteur et des perturbations locales.</w:t>
      </w:r>
    </w:p>
    <w:p w14:paraId="5A807A47" w14:textId="77777777" w:rsidR="00FA3505" w:rsidRPr="00917290" w:rsidRDefault="00FA3505" w:rsidP="00FA3505">
      <w:pPr>
        <w:pStyle w:val="Paragraphedeliste"/>
        <w:numPr>
          <w:ilvl w:val="0"/>
          <w:numId w:val="23"/>
        </w:numPr>
      </w:pPr>
      <w:r w:rsidRPr="00917290">
        <w:rPr>
          <w:b/>
          <w:bCs/>
        </w:rPr>
        <w:t>Calibration dépendante des conditions d’excitation</w:t>
      </w:r>
      <w:r w:rsidRPr="00917290">
        <w:t xml:space="preserve"> : des méthodes temps réel existent (Cao et al., 2020), mais leur efficacité dépend fortement de la couverture des orientations et de la qualité des mouvements. Or, en conditions opérationnelles ou sur porteur, la séquence de calibration peut être contrainte, ce qui rend la calibration moins reproductible.</w:t>
      </w:r>
    </w:p>
    <w:p w14:paraId="0DDFCA77" w14:textId="77777777" w:rsidR="00FA3505" w:rsidRPr="00917290" w:rsidRDefault="00FA3505" w:rsidP="00FA3505">
      <w:pPr>
        <w:pStyle w:val="Paragraphedeliste"/>
        <w:numPr>
          <w:ilvl w:val="0"/>
          <w:numId w:val="23"/>
        </w:numPr>
      </w:pPr>
      <w:r w:rsidRPr="00917290">
        <w:rPr>
          <w:b/>
          <w:bCs/>
        </w:rPr>
        <w:t>Perturbations électromagnétiques complexes</w:t>
      </w:r>
      <w:r w:rsidRPr="00917290">
        <w:t xml:space="preserve"> : les approches de fusion (EKF) et les méthodes data-</w:t>
      </w:r>
      <w:proofErr w:type="spellStart"/>
      <w:r w:rsidRPr="00917290">
        <w:t>driven</w:t>
      </w:r>
      <w:proofErr w:type="spellEnd"/>
      <w:r w:rsidRPr="00917290">
        <w:t xml:space="preserve"> (Bo et al., 2023) adressent des perturbations magnétiques “génériques”, mais elles ne couvrent pas explicitement des environnements de </w:t>
      </w:r>
      <w:r w:rsidRPr="000861E0">
        <w:t>guerre électronique</w:t>
      </w:r>
      <w:r w:rsidRPr="00917290">
        <w:t xml:space="preserve"> ou de fortes interférences (ex. radar), potentiellement non stationnaires, où le capteur peut être soumis à des niveaux de perturbation élevés et variables.</w:t>
      </w:r>
    </w:p>
    <w:p w14:paraId="5D66F472" w14:textId="77777777" w:rsidR="00FA3505" w:rsidRPr="00917290" w:rsidRDefault="00FA3505" w:rsidP="00FA3505">
      <w:pPr>
        <w:pStyle w:val="Paragraphedeliste"/>
        <w:numPr>
          <w:ilvl w:val="0"/>
          <w:numId w:val="23"/>
        </w:numPr>
      </w:pPr>
      <w:r w:rsidRPr="00917290">
        <w:rPr>
          <w:b/>
          <w:bCs/>
        </w:rPr>
        <w:t>Validation expérimentale et représentativité</w:t>
      </w:r>
      <w:r w:rsidRPr="00917290">
        <w:t xml:space="preserve"> : les travaux de calibration au banc (Choi et al., 2024) montrent l’importance des moyens de génération de champ et de l’alignement métrologique. Cependant, l’outillage nécessaire (bobines, alignement, protocoles) peut être lourd, et la question centrale devient la capacité à définir un </w:t>
      </w:r>
      <w:r w:rsidRPr="000861E0">
        <w:t>moyen d’essais reproductible</w:t>
      </w:r>
      <w:r w:rsidRPr="00917290">
        <w:t xml:space="preserve"> et représentatif des perturbations réelles rencontrées.</w:t>
      </w:r>
    </w:p>
    <w:p w14:paraId="5F2BA98F" w14:textId="289544B5" w:rsidR="00FA3505" w:rsidRDefault="00FA3505" w:rsidP="00F17B37">
      <w:r w:rsidRPr="00917290">
        <w:t xml:space="preserve">Ces limites motivent nos développements : établir une approche robuste de cap par boussole </w:t>
      </w:r>
      <w:proofErr w:type="spellStart"/>
      <w:r w:rsidRPr="00917290">
        <w:t>fluxgate</w:t>
      </w:r>
      <w:proofErr w:type="spellEnd"/>
      <w:r w:rsidRPr="00917290">
        <w:t xml:space="preserve"> pouvant rester exploitable à l’échelle globale (variabilité géomagnétique), tout en étant tolérante aux environnements perturbés (CEM/radar) et en s’appuyant sur des moyens d’essais capables de reproduire des champs magnétiques pertinents pour qualifier les performances.</w:t>
      </w:r>
    </w:p>
    <w:p w14:paraId="3D775E3F" w14:textId="77777777" w:rsidR="0009134E" w:rsidRDefault="0009134E" w:rsidP="00F17B37"/>
    <w:p w14:paraId="4656A180" w14:textId="77777777" w:rsidR="0009134E" w:rsidRPr="00811F1A" w:rsidRDefault="0009134E" w:rsidP="00F17B37"/>
    <w:p w14:paraId="353889DE" w14:textId="60B5F416" w:rsidR="002C567E" w:rsidRPr="00CB33EC" w:rsidRDefault="00F17B37" w:rsidP="00CB33EC">
      <w:pPr>
        <w:pStyle w:val="Titre3"/>
      </w:pPr>
      <w:bookmarkStart w:id="3" w:name="_Toc150789235"/>
      <w:r w:rsidRPr="00CB33EC">
        <w:lastRenderedPageBreak/>
        <w:t>Contribution scientifique, technique ou technologique.</w:t>
      </w:r>
      <w:bookmarkEnd w:id="3"/>
    </w:p>
    <w:p w14:paraId="67DD412B" w14:textId="77777777" w:rsidR="002C567E" w:rsidRDefault="002C567E" w:rsidP="002C567E">
      <w:r>
        <w:t>Les travaux de 2024 ont permis les contributions suivantes :</w:t>
      </w:r>
    </w:p>
    <w:p w14:paraId="2E1A0C81" w14:textId="77777777" w:rsidR="002C567E" w:rsidRDefault="002C567E" w:rsidP="002C567E">
      <w:pPr>
        <w:pStyle w:val="Paragraphedeliste"/>
        <w:numPr>
          <w:ilvl w:val="0"/>
          <w:numId w:val="12"/>
        </w:numPr>
      </w:pPr>
      <w:r>
        <w:t>Une partie de nos efforts ont été consacrés à la qualification en environnement d’un prototype de répétiteur étanche, en combinant des essais de pression avec maintien prolongé, des essais vibratoires et chocs suivis d’une revalidation en pression, afin de consolider la démonstration de tenue et d’étanchéité sous fortes pressions. En parallèle, les essais CEM non conformes ont conduit à une itération de conception sur la partie alimentation.</w:t>
      </w:r>
    </w:p>
    <w:p w14:paraId="385E6A56" w14:textId="77777777" w:rsidR="002C567E" w:rsidRDefault="002C567E" w:rsidP="002C567E">
      <w:pPr>
        <w:pStyle w:val="Paragraphedeliste"/>
        <w:numPr>
          <w:ilvl w:val="0"/>
          <w:numId w:val="12"/>
        </w:numPr>
      </w:pPr>
      <w:r>
        <w:t>Nous avons poursuivi la conception et l’intégration de l’équipement CSI, dédié à la sécurisation de la mise à feu d’un armement sur hélicoptère militaire de la Marine nationale, en intégrant des évolutions d’exigences de sécurité imposant une reprise des isolements et des distances entre pistes pour écarter le risque d’arc électrique. Nous avons développé un banc de test automatique et mis au point des séquences de stimulation permettant de couvrir de manière exhaustive les équations logiques tout en maîtrisant la durée de test et l’usure liée aux commutations de relais, avec en complément des investigations spécifiques pour traiter des difficultés de CEM liées aux commutations et aux perturbations parasites induites par le banc.</w:t>
      </w:r>
    </w:p>
    <w:p w14:paraId="704C22C3" w14:textId="5264AEBE" w:rsidR="002C567E" w:rsidRPr="00CC368E" w:rsidRDefault="002C567E" w:rsidP="002C567E">
      <w:pPr>
        <w:pStyle w:val="Paragraphedeliste"/>
        <w:numPr>
          <w:ilvl w:val="0"/>
          <w:numId w:val="12"/>
        </w:numPr>
      </w:pPr>
      <w:r>
        <w:t>Enfin, nous avons initié un projet portant sur un système de boussole électronique de type flux-</w:t>
      </w:r>
      <w:proofErr w:type="spellStart"/>
      <w:r>
        <w:t>gate</w:t>
      </w:r>
      <w:proofErr w:type="spellEnd"/>
      <w:r>
        <w:t>, afin d’adresser les écarts constatés lors d’utilisations sur un large spectre de latitudes, notamment en hémisphère sud. Ces travaux ont conduit à revisiter le principe de calibration des bobines et à engager la mise au point d’un nouveau mode de calibration adapté aux variations géographiques du champ magnétique, en tenant compte des contraintes d’exploitation en environnement électromagnétiquement perturbé, et en développant des moyens d’essais spécifiques permettant de reproduire et valider un maximum de configurations de champ représentatives.</w:t>
      </w:r>
    </w:p>
    <w:p w14:paraId="073E1D97" w14:textId="25788A47" w:rsidR="00FC5519" w:rsidRDefault="00F17B37" w:rsidP="00FC5519">
      <w:pPr>
        <w:pStyle w:val="Titre3"/>
      </w:pPr>
      <w:bookmarkStart w:id="4" w:name="_Toc150789236"/>
      <w:r>
        <w:t xml:space="preserve">Description de la </w:t>
      </w:r>
      <w:r w:rsidRPr="002F4240">
        <w:t>démarche</w:t>
      </w:r>
      <w:r>
        <w:t xml:space="preserve"> suivie et des travaux réalisés.</w:t>
      </w:r>
      <w:bookmarkEnd w:id="4"/>
    </w:p>
    <w:p w14:paraId="54B11654" w14:textId="77777777" w:rsidR="00FC5519" w:rsidRPr="00995149" w:rsidRDefault="00FC5519" w:rsidP="007D30F7">
      <w:pPr>
        <w:pStyle w:val="INNOVATECHnormal"/>
        <w:rPr>
          <w:rFonts w:ascii="Calibri" w:hAnsi="Calibri" w:cs="Calibri"/>
          <w:lang w:eastAsia="en-US"/>
        </w:rPr>
      </w:pPr>
      <w:r w:rsidRPr="00995149">
        <w:rPr>
          <w:rFonts w:ascii="Calibri" w:hAnsi="Calibri" w:cs="Calibri"/>
        </w:rPr>
        <w:t>Les travaux engagés en 2024 dans le cadre de cette opération de R&amp;D ont été scindés en trois parties :</w:t>
      </w:r>
    </w:p>
    <w:p w14:paraId="28B27CAB" w14:textId="77777777" w:rsidR="00FC5519" w:rsidRPr="00995149" w:rsidRDefault="00FC5519" w:rsidP="007D30F7">
      <w:pPr>
        <w:pStyle w:val="NormalWeb"/>
        <w:numPr>
          <w:ilvl w:val="0"/>
          <w:numId w:val="24"/>
        </w:numPr>
        <w:jc w:val="both"/>
        <w:rPr>
          <w:rFonts w:ascii="Calibri" w:hAnsi="Calibri" w:cs="Calibri"/>
        </w:rPr>
      </w:pPr>
      <w:r w:rsidRPr="00995149">
        <w:rPr>
          <w:rFonts w:ascii="Calibri" w:hAnsi="Calibri" w:cs="Calibri"/>
        </w:rPr>
        <w:t>Poursuite du durcissement et de la qualification en environnement d’un répétiteur étanche, avec objectif de tenue aux hautes pressions et conformité CEM.</w:t>
      </w:r>
    </w:p>
    <w:p w14:paraId="62657207" w14:textId="55DFA2BD" w:rsidR="00FC5519" w:rsidRPr="00995149" w:rsidRDefault="00FC5519" w:rsidP="007D30F7">
      <w:pPr>
        <w:pStyle w:val="NormalWeb"/>
        <w:numPr>
          <w:ilvl w:val="0"/>
          <w:numId w:val="24"/>
        </w:numPr>
        <w:jc w:val="both"/>
        <w:rPr>
          <w:rFonts w:ascii="Calibri" w:hAnsi="Calibri" w:cs="Calibri"/>
        </w:rPr>
      </w:pPr>
      <w:r w:rsidRPr="00995149">
        <w:rPr>
          <w:rFonts w:ascii="Calibri" w:hAnsi="Calibri" w:cs="Calibri"/>
        </w:rPr>
        <w:t xml:space="preserve">Poursuite du projet CSI de sécurisation de la mise à feu sur hélicoptère de la Marine nationale, incluant l’intégration du prototype, l’adaptation aux exigences de </w:t>
      </w:r>
      <w:r w:rsidR="0009134E">
        <w:rPr>
          <w:rFonts w:ascii="Calibri" w:hAnsi="Calibri" w:cs="Calibri"/>
        </w:rPr>
        <w:t>sécurité</w:t>
      </w:r>
      <w:r w:rsidRPr="00995149">
        <w:rPr>
          <w:rFonts w:ascii="Calibri" w:hAnsi="Calibri" w:cs="Calibri"/>
        </w:rPr>
        <w:t xml:space="preserve"> et la mise au point d’un banc de test automatique pour la qualification.</w:t>
      </w:r>
    </w:p>
    <w:p w14:paraId="586924AE" w14:textId="63EAC2F0" w:rsidR="00FC5519" w:rsidRPr="00995149" w:rsidRDefault="00FC5519" w:rsidP="007D30F7">
      <w:pPr>
        <w:pStyle w:val="NormalWeb"/>
        <w:numPr>
          <w:ilvl w:val="0"/>
          <w:numId w:val="24"/>
        </w:numPr>
        <w:jc w:val="both"/>
        <w:rPr>
          <w:rFonts w:ascii="Calibri" w:hAnsi="Calibri" w:cs="Calibri"/>
        </w:rPr>
      </w:pPr>
      <w:r w:rsidRPr="00995149">
        <w:rPr>
          <w:rFonts w:ascii="Calibri" w:hAnsi="Calibri" w:cs="Calibri"/>
        </w:rPr>
        <w:t>Démarrage du projet de boussole électronique flux-</w:t>
      </w:r>
      <w:proofErr w:type="spellStart"/>
      <w:r w:rsidRPr="00995149">
        <w:rPr>
          <w:rFonts w:ascii="Calibri" w:hAnsi="Calibri" w:cs="Calibri"/>
        </w:rPr>
        <w:t>gate</w:t>
      </w:r>
      <w:proofErr w:type="spellEnd"/>
      <w:r w:rsidRPr="00995149">
        <w:rPr>
          <w:rFonts w:ascii="Calibri" w:hAnsi="Calibri" w:cs="Calibri"/>
        </w:rPr>
        <w:t>, visant la reprise de la calibration pour un fonctionnement robuste sur un large spectre de latitudes et le développement de moyens d’essais associés.</w:t>
      </w:r>
    </w:p>
    <w:p w14:paraId="6BF1C7E1" w14:textId="4C0D9F33" w:rsidR="005C6C4C" w:rsidRPr="00CB33EC" w:rsidRDefault="005C6C4C" w:rsidP="00CB33EC">
      <w:pPr>
        <w:pStyle w:val="Titre4"/>
      </w:pPr>
      <w:r w:rsidRPr="00CB33EC">
        <w:t>R</w:t>
      </w:r>
      <w:r w:rsidR="00F17B37" w:rsidRPr="00CB33EC">
        <w:t>épétiteur supportant des hautes pressions</w:t>
      </w:r>
    </w:p>
    <w:p w14:paraId="17A49A2A" w14:textId="2E38EE68" w:rsidR="005C6C4C" w:rsidRDefault="005C6C4C" w:rsidP="005C6C4C">
      <w:r>
        <w:t xml:space="preserve">Dans la continuité des travaux engagés les années précédentes sur le projet Compass </w:t>
      </w:r>
      <w:proofErr w:type="spellStart"/>
      <w:r>
        <w:t>Repeater</w:t>
      </w:r>
      <w:proofErr w:type="spellEnd"/>
      <w:r>
        <w:t xml:space="preserve">, nous avons poursuivi en 2024 l’objectif de disposer d’un répétiteur étanche destiné à fonctionner en environnement sous-marin, avec une tenue mécanique et </w:t>
      </w:r>
      <w:proofErr w:type="gramStart"/>
      <w:r w:rsidR="0009134E">
        <w:t>une étanchéité démontrées</w:t>
      </w:r>
      <w:proofErr w:type="gramEnd"/>
      <w:r>
        <w:t xml:space="preserve"> sous fortes pressions, et une qualification en environnement couvrant également les sollicitations vibratoires, les chocs et la compatibilité électromagnétique. Les études et validations menées antérieurement avaient permis d’établir et de consolider le dimensionnement et la modélisation de l’équipement, notamment au travers d’une démarche de calcul par éléments finis et d’essais de pressurisation itératifs, avec une cible de résistance à 60 bars et une logique de </w:t>
      </w:r>
      <w:commentRangeStart w:id="5"/>
      <w:r w:rsidRPr="009A4E10">
        <w:t xml:space="preserve">validation progressive par cycles d’essais. </w:t>
      </w:r>
      <w:commentRangeEnd w:id="5"/>
      <w:r w:rsidRPr="009A4E10">
        <w:rPr>
          <w:rStyle w:val="Marquedecommentaire"/>
        </w:rPr>
        <w:commentReference w:id="5"/>
      </w:r>
    </w:p>
    <w:p w14:paraId="20BAF0F6" w14:textId="77777777" w:rsidR="005C6C4C" w:rsidRDefault="005C6C4C" w:rsidP="005C6C4C">
      <w:pPr>
        <w:jc w:val="center"/>
        <w:rPr>
          <w:rFonts w:ascii="Times New Roman" w:hAnsi="Times New Roman" w:cs="Times New Roman"/>
          <w:sz w:val="24"/>
          <w:szCs w:val="24"/>
        </w:rPr>
      </w:pPr>
      <w:r w:rsidRPr="000A3020">
        <w:rPr>
          <w:noProof/>
        </w:rPr>
        <w:lastRenderedPageBreak/>
        <w:drawing>
          <wp:inline distT="0" distB="0" distL="0" distR="0" wp14:anchorId="14978B12" wp14:editId="14BEF79A">
            <wp:extent cx="3413292" cy="2743200"/>
            <wp:effectExtent l="0" t="0" r="3175" b="0"/>
            <wp:docPr id="17560953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95360" name=""/>
                    <pic:cNvPicPr/>
                  </pic:nvPicPr>
                  <pic:blipFill>
                    <a:blip r:embed="rId11"/>
                    <a:stretch>
                      <a:fillRect/>
                    </a:stretch>
                  </pic:blipFill>
                  <pic:spPr>
                    <a:xfrm>
                      <a:off x="0" y="0"/>
                      <a:ext cx="3420718" cy="2749168"/>
                    </a:xfrm>
                    <a:prstGeom prst="rect">
                      <a:avLst/>
                    </a:prstGeom>
                  </pic:spPr>
                </pic:pic>
              </a:graphicData>
            </a:graphic>
          </wp:inline>
        </w:drawing>
      </w:r>
    </w:p>
    <w:p w14:paraId="3EBACD95" w14:textId="77777777" w:rsidR="005C6C4C" w:rsidRPr="00FD4DA3" w:rsidRDefault="005C6C4C" w:rsidP="005C6C4C">
      <w:pPr>
        <w:jc w:val="center"/>
        <w:rPr>
          <w:rStyle w:val="Rfrencelgre"/>
        </w:rPr>
      </w:pPr>
      <w:r w:rsidRPr="00FD4DA3">
        <w:rPr>
          <w:rStyle w:val="Rfrencelgre"/>
        </w:rPr>
        <w:t>Modélisation de l’équipement</w:t>
      </w:r>
    </w:p>
    <w:p w14:paraId="1F6D9A28" w14:textId="77777777" w:rsidR="005C6C4C" w:rsidRDefault="005C6C4C" w:rsidP="005C6C4C">
      <w:r>
        <w:t xml:space="preserve">En 2024, nos travaux ont consisté à </w:t>
      </w:r>
      <w:commentRangeStart w:id="6"/>
      <w:r>
        <w:t>confronter de manière structurée les hypothèses de conception et de calcul aux essais de laboratoire</w:t>
      </w:r>
      <w:commentRangeEnd w:id="6"/>
      <w:r>
        <w:rPr>
          <w:rStyle w:val="Marquedecommentaire"/>
        </w:rPr>
        <w:commentReference w:id="6"/>
      </w:r>
      <w:r>
        <w:t xml:space="preserve">, afin de garantir que le comportement réel du répétiteur reste conforme aux attendus dans des conditions représentatives. Cette approche a été menée dans une logique de qualification en environnement. Nous avons ainsi réalisé des essais en pression visant à confirmer la robustesse de l’étanchéité et le bon dimensionnement des éléments critiques, dont la vitre, ainsi que des essais vibratoires et des essais de chocs. L’enjeu technique associé à cette séquence d’essais ne se limitait pas à vérifier l’absence de fuite à un instant donné, mais à démontrer que les sollicitations mécaniques de qualification ne dégradent pas l’intégrité d’assemblage, et que l’équipement demeure étanche lors d’une remise en pression post sollicitations. Dans ce cadre, nous avons enchaîné des essais de pression, des essais vibratoires et chocs, puis de nouveaux essais de pression pour vérifier le maintien de l’étanchéité après contraintes, avec notamment un palier de 12 heures sous pression à 50 bars. À l’issue de cette campagne, aucun problème particulier n’a été constaté sur les essais réalisés, </w:t>
      </w:r>
      <w:commentRangeStart w:id="7"/>
      <w:r>
        <w:t xml:space="preserve">ce qui a permis de consolider la confiance dans la robustesse de la conception au niveau de pression testé et dans la stabilité de l’étanchéité après sollicitations mécaniques. </w:t>
      </w:r>
      <w:commentRangeEnd w:id="7"/>
      <w:r>
        <w:rPr>
          <w:rStyle w:val="Marquedecommentaire"/>
        </w:rPr>
        <w:commentReference w:id="7"/>
      </w:r>
    </w:p>
    <w:p w14:paraId="4ABFBFE1" w14:textId="77777777" w:rsidR="005C6C4C" w:rsidRDefault="005C6C4C" w:rsidP="005C6C4C">
      <w:commentRangeStart w:id="8"/>
      <w:r>
        <w:t>Parallèlement à cette démarche d’essais, nous avons préparé la montée en pression au-delà du niveau testé en laboratoire en 2024, via l’établissement de notes de calcul à 60 bars en préparation d’essais futurs.</w:t>
      </w:r>
      <w:commentRangeEnd w:id="8"/>
      <w:r>
        <w:rPr>
          <w:rStyle w:val="Marquedecommentaire"/>
        </w:rPr>
        <w:commentReference w:id="8"/>
      </w:r>
    </w:p>
    <w:p w14:paraId="3931024A" w14:textId="2ADFF5CF" w:rsidR="005C6C4C" w:rsidRDefault="005C6C4C" w:rsidP="005C6C4C">
      <w:r>
        <w:t xml:space="preserve">Au-delà de la tenue à la pression et des sollicitations mécaniques, la qualification en environnement a fait apparaître un problème technique sur la compatibilité électromagnétique. Les essais CEM se sont révélés non conformes, avec une nécessité de reprise de conception sur la partie alimentation, à la suite d’une problématique de dépassement de fréquence lors des essais en rayonné sur les basses fréquences. </w:t>
      </w:r>
      <w:commentRangeStart w:id="9"/>
      <w:r>
        <w:t>Cette non-conformité a conduit à engager un</w:t>
      </w:r>
      <w:r w:rsidR="0009134E">
        <w:t>e modification d’</w:t>
      </w:r>
      <w:proofErr w:type="spellStart"/>
      <w:r w:rsidR="0009134E">
        <w:t>achitecture</w:t>
      </w:r>
      <w:proofErr w:type="spellEnd"/>
      <w:r>
        <w:t xml:space="preserve"> de l’alimentation, puis à réaliser de nouveau les essais afin de réévaluer la conformité après modification</w:t>
      </w:r>
      <w:commentRangeEnd w:id="9"/>
      <w:r>
        <w:rPr>
          <w:rStyle w:val="Marquedecommentaire"/>
        </w:rPr>
        <w:commentReference w:id="9"/>
      </w:r>
      <w:r>
        <w:t xml:space="preserve">. </w:t>
      </w:r>
      <w:commentRangeStart w:id="10"/>
      <w:r>
        <w:t xml:space="preserve">Cette phase a constitué un point critique des travaux 2024 car elle conditionnait la capacité du répétiteur à satisfaire les exigences de qualification en environnement au-delà des seules performances mécaniques et d’étanchéité. </w:t>
      </w:r>
      <w:commentRangeEnd w:id="10"/>
      <w:r>
        <w:rPr>
          <w:rStyle w:val="Marquedecommentaire"/>
        </w:rPr>
        <w:commentReference w:id="10"/>
      </w:r>
    </w:p>
    <w:p w14:paraId="650DDEBB" w14:textId="45293C68" w:rsidR="005C6C4C" w:rsidRPr="005C6C4C" w:rsidRDefault="005C6C4C" w:rsidP="005C6C4C">
      <w:r>
        <w:lastRenderedPageBreak/>
        <w:t xml:space="preserve">Ces travaux 2024 s’inscrivent donc dans une démarche de validation expérimentale en environnement d’un répétiteur étanche, en combinant des essais de pression avec maintien prolongé à 50 bars, des sollicitations vibratoires et de </w:t>
      </w:r>
      <w:proofErr w:type="gramStart"/>
      <w:r>
        <w:t>chocs suivies</w:t>
      </w:r>
      <w:proofErr w:type="gramEnd"/>
      <w:r>
        <w:t xml:space="preserve"> d’une revalidation en pression, et une itération de conception rendue nécessaire par une non-conformité CEM sur l’alimentation. Dans le même temps, nous avons préparé la montée en pression future via des notes de calcul à 60 bars, dans la continuité de l’objectif de tenue aux hautes pressions associé au répétiteur.</w:t>
      </w:r>
    </w:p>
    <w:p w14:paraId="7508EC3A" w14:textId="1A56A55A" w:rsidR="00F17B37" w:rsidRPr="005C6C4C" w:rsidRDefault="00F17B37" w:rsidP="00CB33EC">
      <w:pPr>
        <w:pStyle w:val="Titre4"/>
      </w:pPr>
      <w:commentRangeStart w:id="11"/>
      <w:r w:rsidRPr="005C6C4C">
        <w:t>Conception détaillée de l’équipement "CSI"</w:t>
      </w:r>
      <w:commentRangeEnd w:id="11"/>
      <w:r w:rsidR="005C6C4C">
        <w:rPr>
          <w:rStyle w:val="Marquedecommentaire"/>
          <w:b w:val="0"/>
          <w:bCs w:val="0"/>
        </w:rPr>
        <w:commentReference w:id="11"/>
      </w:r>
    </w:p>
    <w:p w14:paraId="0CE4750A" w14:textId="77777777" w:rsidR="005C6C4C" w:rsidRPr="007D30F7" w:rsidRDefault="005C6C4C" w:rsidP="005C6C4C">
      <w:pPr>
        <w:pStyle w:val="NormalWeb"/>
        <w:jc w:val="both"/>
        <w:rPr>
          <w:rFonts w:ascii="Calibri" w:hAnsi="Calibri" w:cs="Calibri"/>
        </w:rPr>
      </w:pPr>
      <w:r w:rsidRPr="007D30F7">
        <w:rPr>
          <w:rFonts w:ascii="Calibri" w:hAnsi="Calibri" w:cs="Calibri"/>
        </w:rPr>
        <w:t xml:space="preserve">Dans la continuité de la conception détaillée engagée précédemment sur l’équipement CSI, nos travaux 2024 se sont concentrés sur l’intégration du premier prototype et sur la qualification en environnement, avec un effort particulier porté sur l’exhaustivité fonctionnelle des tests et sur la prise en compte d’évolutions d’exigences de sécurité imposées par le client. L’équipement CSI est un boîtier électronique monolithique de type MIL </w:t>
      </w:r>
      <w:proofErr w:type="spellStart"/>
      <w:r w:rsidRPr="007D30F7">
        <w:rPr>
          <w:rFonts w:ascii="Calibri" w:hAnsi="Calibri" w:cs="Calibri"/>
        </w:rPr>
        <w:t>aero</w:t>
      </w:r>
      <w:proofErr w:type="spellEnd"/>
      <w:r w:rsidRPr="007D30F7">
        <w:rPr>
          <w:rFonts w:ascii="Calibri" w:hAnsi="Calibri" w:cs="Calibri"/>
        </w:rPr>
        <w:t xml:space="preserve">, sans logiciel ni composant programmable, destiné à sécuriser l’autorisation de mise à feu d’un armement sur hélicoptère militaire de la Marine nationale, et soumis à des contraintes environnementales et de sûreté très strictes qui structurent l’ensemble de la démarche de conception et de validation. </w:t>
      </w:r>
    </w:p>
    <w:p w14:paraId="336ABBD4" w14:textId="77777777" w:rsidR="005C6C4C" w:rsidRDefault="005C6C4C" w:rsidP="005C6C4C">
      <w:pPr>
        <w:pStyle w:val="NormalWeb"/>
        <w:jc w:val="center"/>
      </w:pPr>
      <w:r w:rsidRPr="002E41DB">
        <w:rPr>
          <w:noProof/>
        </w:rPr>
        <w:drawing>
          <wp:inline distT="0" distB="0" distL="0" distR="0" wp14:anchorId="3C942AC8" wp14:editId="1B3A1F36">
            <wp:extent cx="2339657" cy="1654299"/>
            <wp:effectExtent l="0" t="0" r="3810" b="3175"/>
            <wp:docPr id="5" name="Image 4" descr="Une image contenant Électroménager, Appareils électroniques, haut-parleur, conception&#10;&#10;Le contenu généré par l’IA peut être incorrect.">
              <a:extLst xmlns:a="http://schemas.openxmlformats.org/drawingml/2006/main">
                <a:ext uri="{FF2B5EF4-FFF2-40B4-BE49-F238E27FC236}">
                  <a16:creationId xmlns:a16="http://schemas.microsoft.com/office/drawing/2014/main" id="{944C1FBE-BE88-1ED0-5C8C-689722B2CB81}"/>
                </a:ext>
              </a:extLst>
            </wp:docPr>
            <wp:cNvGraphicFramePr/>
            <a:graphic xmlns:a="http://schemas.openxmlformats.org/drawingml/2006/main">
              <a:graphicData uri="http://schemas.openxmlformats.org/drawingml/2006/picture">
                <pic:pic xmlns:pic="http://schemas.openxmlformats.org/drawingml/2006/picture">
                  <pic:nvPicPr>
                    <pic:cNvPr id="5" name="Image 4" descr="Une image contenant Électroménager, Appareils électroniques, haut-parleur, conception&#10;&#10;Le contenu généré par l’IA peut être incorrect.">
                      <a:extLst>
                        <a:ext uri="{FF2B5EF4-FFF2-40B4-BE49-F238E27FC236}">
                          <a16:creationId xmlns:a16="http://schemas.microsoft.com/office/drawing/2014/main" id="{944C1FBE-BE88-1ED0-5C8C-689722B2CB81}"/>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657" cy="1654299"/>
                    </a:xfrm>
                    <a:prstGeom prst="rect">
                      <a:avLst/>
                    </a:prstGeom>
                    <a:noFill/>
                    <a:ln>
                      <a:noFill/>
                    </a:ln>
                  </pic:spPr>
                </pic:pic>
              </a:graphicData>
            </a:graphic>
          </wp:inline>
        </w:drawing>
      </w:r>
    </w:p>
    <w:p w14:paraId="20B47A86" w14:textId="77777777" w:rsidR="005C6C4C" w:rsidRPr="00FB37C0" w:rsidRDefault="005C6C4C" w:rsidP="005C6C4C">
      <w:pPr>
        <w:pStyle w:val="NormalWeb"/>
        <w:jc w:val="center"/>
        <w:rPr>
          <w:rStyle w:val="Rfrencelgre"/>
        </w:rPr>
      </w:pPr>
      <w:r>
        <w:rPr>
          <w:rStyle w:val="Rfrencelgre"/>
        </w:rPr>
        <w:t>B</w:t>
      </w:r>
      <w:r w:rsidRPr="00FB37C0">
        <w:rPr>
          <w:rStyle w:val="Rfrencelgre"/>
        </w:rPr>
        <w:t xml:space="preserve">oîtier électronique monolithique de type MIL </w:t>
      </w:r>
      <w:proofErr w:type="spellStart"/>
      <w:r w:rsidRPr="00FB37C0">
        <w:rPr>
          <w:rStyle w:val="Rfrencelgre"/>
        </w:rPr>
        <w:t>aero</w:t>
      </w:r>
      <w:proofErr w:type="spellEnd"/>
    </w:p>
    <w:p w14:paraId="46CD3D99" w14:textId="77777777" w:rsidR="005C6C4C" w:rsidRPr="007D30F7" w:rsidRDefault="005C6C4C" w:rsidP="005C6C4C">
      <w:pPr>
        <w:pStyle w:val="NormalWeb"/>
        <w:jc w:val="both"/>
        <w:rPr>
          <w:rFonts w:ascii="Calibri" w:hAnsi="Calibri" w:cs="Calibri"/>
        </w:rPr>
      </w:pPr>
      <w:commentRangeStart w:id="12"/>
      <w:r w:rsidRPr="007D30F7">
        <w:rPr>
          <w:rFonts w:ascii="Calibri" w:hAnsi="Calibri" w:cs="Calibri"/>
        </w:rPr>
        <w:t>En 2024, l’un des premiers sujets traités a porté sur la reprise de l’étude de sécurité à la suite d’évolutions des exigences client</w:t>
      </w:r>
      <w:commentRangeEnd w:id="12"/>
      <w:r w:rsidRPr="007D30F7">
        <w:rPr>
          <w:rStyle w:val="Marquedecommentaire"/>
          <w:rFonts w:ascii="Calibri" w:eastAsiaTheme="minorHAnsi" w:hAnsi="Calibri" w:cs="Calibri"/>
          <w:kern w:val="2"/>
          <w:sz w:val="22"/>
          <w:szCs w:val="22"/>
          <w:lang w:eastAsia="en-US"/>
          <w14:ligatures w14:val="standardContextual"/>
        </w:rPr>
        <w:commentReference w:id="12"/>
      </w:r>
      <w:r w:rsidRPr="007D30F7">
        <w:rPr>
          <w:rFonts w:ascii="Calibri" w:hAnsi="Calibri" w:cs="Calibri"/>
        </w:rPr>
        <w:t xml:space="preserve">. Cette reprise s’est traduite par un travail de </w:t>
      </w:r>
      <w:commentRangeStart w:id="13"/>
      <w:r w:rsidRPr="007D30F7">
        <w:rPr>
          <w:rFonts w:ascii="Calibri" w:hAnsi="Calibri" w:cs="Calibri"/>
        </w:rPr>
        <w:t xml:space="preserve">réévaluation des isolements et des distances entre pistes </w:t>
      </w:r>
      <w:commentRangeEnd w:id="13"/>
      <w:r w:rsidRPr="007D30F7">
        <w:rPr>
          <w:rStyle w:val="Marquedecommentaire"/>
          <w:rFonts w:ascii="Calibri" w:eastAsiaTheme="minorHAnsi" w:hAnsi="Calibri" w:cs="Calibri"/>
          <w:kern w:val="2"/>
          <w:sz w:val="22"/>
          <w:szCs w:val="22"/>
          <w:lang w:eastAsia="en-US"/>
          <w14:ligatures w14:val="standardContextual"/>
        </w:rPr>
        <w:commentReference w:id="13"/>
      </w:r>
      <w:r w:rsidRPr="007D30F7">
        <w:rPr>
          <w:rFonts w:ascii="Calibri" w:hAnsi="Calibri" w:cs="Calibri"/>
        </w:rPr>
        <w:t xml:space="preserve">afin de s’assurer que les espacements demeurent suffisants pour éviter tout arc électrique compte tenu des tensions en jeu, ce qui a imposé des itérations sur les cartes électroniques et des impacts associés sur la conception mécanique, dans la mesure où les contraintes d’implantation, de tenue diélectrique et d’encombrement interagissent directement avec les choix de routage, de séparation des zones et d’architecture d’assemblage. Cette phase a été d’autant plus structurante que l’équipement met en </w:t>
      </w:r>
      <w:proofErr w:type="spellStart"/>
      <w:r w:rsidRPr="007D30F7">
        <w:rPr>
          <w:rFonts w:ascii="Calibri" w:hAnsi="Calibri" w:cs="Calibri"/>
        </w:rPr>
        <w:t>oeuvre</w:t>
      </w:r>
      <w:proofErr w:type="spellEnd"/>
      <w:r w:rsidRPr="007D30F7">
        <w:rPr>
          <w:rFonts w:ascii="Calibri" w:hAnsi="Calibri" w:cs="Calibri"/>
        </w:rPr>
        <w:t xml:space="preserve"> des courants élevés et des commutations de relais, et que la justification d’isolement constitue un point important dans un contexte sécurité de très haut niveau.</w:t>
      </w:r>
    </w:p>
    <w:p w14:paraId="4AC0E508" w14:textId="77777777" w:rsidR="005C6C4C" w:rsidRPr="007D30F7" w:rsidRDefault="005C6C4C" w:rsidP="005C6C4C">
      <w:pPr>
        <w:pStyle w:val="NormalWeb"/>
        <w:jc w:val="both"/>
        <w:rPr>
          <w:rFonts w:ascii="Calibri" w:hAnsi="Calibri" w:cs="Calibri"/>
        </w:rPr>
      </w:pPr>
      <w:r w:rsidRPr="007D30F7">
        <w:rPr>
          <w:rFonts w:ascii="Calibri" w:hAnsi="Calibri" w:cs="Calibri"/>
        </w:rPr>
        <w:t xml:space="preserve">Parallèlement à ces reprises de conception, l’année 2024 a été marquée par la mise en place de l’activité de qualification « bon de vol », au travers de la réalisation d’un banc de test automatique capable de stimuler de manière exhaustive les différentes équations logiques de l’équipement. L’enjeu technique n’était pas uniquement de disposer d’un moyen d’essai, mais de réduire autant que possible les zones d’incertitude en couvrant de manière systématique les combinaisons et séquences de commutation pertinentes, tout en respectant des contraintes contradictoires de temps de test acceptable et de préservation de l’équipement. En effet, une stimulation exhaustive </w:t>
      </w:r>
      <w:r w:rsidRPr="007D30F7">
        <w:rPr>
          <w:rStyle w:val="lev"/>
          <w:rFonts w:ascii="Calibri" w:hAnsi="Calibri" w:cs="Calibri"/>
          <w:b w:val="0"/>
          <w:bCs w:val="0"/>
        </w:rPr>
        <w:t>non optimisée</w:t>
      </w:r>
      <w:r w:rsidRPr="007D30F7">
        <w:rPr>
          <w:rFonts w:ascii="Calibri" w:hAnsi="Calibri" w:cs="Calibri"/>
        </w:rPr>
        <w:t xml:space="preserve"> aurait conduit à des durées de test trop longues</w:t>
      </w:r>
      <w:r w:rsidRPr="007D30F7">
        <w:rPr>
          <w:rFonts w:ascii="Calibri" w:hAnsi="Calibri" w:cs="Calibri"/>
          <w:color w:val="ED7D31" w:themeColor="accent2"/>
        </w:rPr>
        <w:t xml:space="preserve"> </w:t>
      </w:r>
      <w:r w:rsidRPr="007D30F7">
        <w:rPr>
          <w:rFonts w:ascii="Calibri" w:hAnsi="Calibri" w:cs="Calibri"/>
        </w:rPr>
        <w:t xml:space="preserve">et à un risque de dégradation prématurée du matériel du fait des commutations répétées sur une période prolongée, ce qui était incompatible avec l’objectif </w:t>
      </w:r>
      <w:r w:rsidRPr="007D30F7">
        <w:rPr>
          <w:rFonts w:ascii="Calibri" w:hAnsi="Calibri" w:cs="Calibri"/>
        </w:rPr>
        <w:lastRenderedPageBreak/>
        <w:t xml:space="preserve">de qualification. Pour résoudre cette tension entre exhaustivité et durabilité, nous avons dû concevoir et mettre au point des séquences de test optimisées, en conduisant des </w:t>
      </w:r>
      <w:commentRangeStart w:id="14"/>
      <w:r w:rsidRPr="007D30F7">
        <w:rPr>
          <w:rFonts w:ascii="Calibri" w:hAnsi="Calibri" w:cs="Calibri"/>
        </w:rPr>
        <w:t xml:space="preserve">optimisations dites intelligentes </w:t>
      </w:r>
      <w:commentRangeEnd w:id="14"/>
      <w:r w:rsidRPr="007D30F7">
        <w:rPr>
          <w:rStyle w:val="Marquedecommentaire"/>
          <w:rFonts w:ascii="Calibri" w:eastAsiaTheme="minorHAnsi" w:hAnsi="Calibri" w:cs="Calibri"/>
          <w:kern w:val="2"/>
          <w:sz w:val="22"/>
          <w:szCs w:val="22"/>
          <w:lang w:eastAsia="en-US"/>
          <w14:ligatures w14:val="standardContextual"/>
        </w:rPr>
        <w:commentReference w:id="14"/>
      </w:r>
      <w:r w:rsidRPr="007D30F7">
        <w:rPr>
          <w:rFonts w:ascii="Calibri" w:hAnsi="Calibri" w:cs="Calibri"/>
        </w:rPr>
        <w:t xml:space="preserve">au niveau des équations logiques des séquences de test optimisées, afin de couvrir l’espace de tests de façon complète, sans engager des cycles de commutation susceptibles d’endommager l’équipement. Ce travail s’inscrit directement dans la logique d’un équipement sécurité du plus haut niveau de type DAL A, pour lequel aucune zone d’incertitude ne peut être acceptée sur la couverture de test. </w:t>
      </w:r>
    </w:p>
    <w:p w14:paraId="651F4490" w14:textId="77777777" w:rsidR="005C6C4C" w:rsidRPr="007D30F7" w:rsidRDefault="005C6C4C" w:rsidP="005C6C4C">
      <w:pPr>
        <w:pStyle w:val="NormalWeb"/>
        <w:jc w:val="both"/>
        <w:rPr>
          <w:rFonts w:ascii="Calibri" w:hAnsi="Calibri" w:cs="Calibri"/>
        </w:rPr>
      </w:pPr>
      <w:r w:rsidRPr="007D30F7">
        <w:rPr>
          <w:rFonts w:ascii="Calibri" w:hAnsi="Calibri" w:cs="Calibri"/>
        </w:rPr>
        <w:t>Lors de ces activités d’intégration et de qualification, nous avons également rencontré des difficultés en compatibilité électromagnétique, liées notamment à la commutation des relais, qui génère des perturbations. La situation a été complexifiée par le fait que le banc de test lui-même pouvait introduire des perturbations parasites, rendant l’analyse et l’attribution des phénomènes CEM plus délicates.</w:t>
      </w:r>
      <w:r w:rsidRPr="007D30F7">
        <w:rPr>
          <w:rFonts w:ascii="Calibri" w:hAnsi="Calibri" w:cs="Calibri"/>
          <w:color w:val="ED7D31" w:themeColor="accent2"/>
        </w:rPr>
        <w:t xml:space="preserve"> </w:t>
      </w:r>
      <w:commentRangeStart w:id="15"/>
      <w:r w:rsidRPr="007D30F7">
        <w:rPr>
          <w:rFonts w:ascii="Calibri" w:hAnsi="Calibri" w:cs="Calibri"/>
        </w:rPr>
        <w:t>L’itération entre la mise au point du banc, l’observation des perturbations et l’ajustement des séquences de stimulation a représenté une part importante des activités</w:t>
      </w:r>
      <w:commentRangeEnd w:id="15"/>
      <w:r w:rsidRPr="007D30F7">
        <w:rPr>
          <w:rStyle w:val="Marquedecommentaire"/>
          <w:rFonts w:ascii="Calibri" w:eastAsiaTheme="minorHAnsi" w:hAnsi="Calibri" w:cs="Calibri"/>
          <w:kern w:val="2"/>
          <w:sz w:val="22"/>
          <w:szCs w:val="22"/>
          <w:lang w:eastAsia="en-US"/>
          <w14:ligatures w14:val="standardContextual"/>
        </w:rPr>
        <w:commentReference w:id="15"/>
      </w:r>
      <w:r w:rsidRPr="007D30F7">
        <w:rPr>
          <w:rFonts w:ascii="Calibri" w:hAnsi="Calibri" w:cs="Calibri"/>
        </w:rPr>
        <w:t>.</w:t>
      </w:r>
    </w:p>
    <w:p w14:paraId="7B962E49" w14:textId="77777777" w:rsidR="005C6C4C" w:rsidRPr="007D30F7" w:rsidRDefault="005C6C4C" w:rsidP="005C6C4C">
      <w:pPr>
        <w:pStyle w:val="NormalWeb"/>
        <w:jc w:val="both"/>
        <w:rPr>
          <w:rFonts w:ascii="Calibri" w:hAnsi="Calibri" w:cs="Calibri"/>
          <w:color w:val="ED7D31" w:themeColor="accent2"/>
        </w:rPr>
      </w:pPr>
      <w:r w:rsidRPr="007D30F7">
        <w:rPr>
          <w:rFonts w:ascii="Calibri" w:hAnsi="Calibri" w:cs="Calibri"/>
        </w:rPr>
        <w:t xml:space="preserve">Enfin, l’année 2024 a confirmé le caractère central des problématiques d’isolement et de dimensionnement des pistes dans le cadre des exigences de sécurité et des contraintes de courant. Les travaux ont impliqué des calculs et des itérations sur les cartes électroniques afin de trouver les compromis acceptables entre le courant transporté, les contraintes d’isolement requises pour éviter tout amorçage, et les contraintes d’intégration liées au format de l’équipement. Cette logique de compromis a également été influencée par les reprises imposées par l’évolution des exigences client, qui ont conduit à revisiter les choix d’implantation et les séparations électriques, avec des répercussions mécaniques associées. </w:t>
      </w:r>
    </w:p>
    <w:p w14:paraId="64F29C47" w14:textId="2D48DD25" w:rsidR="005C6C4C" w:rsidRPr="007D30F7" w:rsidRDefault="005C6C4C" w:rsidP="005C6C4C">
      <w:pPr>
        <w:pStyle w:val="NormalWeb"/>
        <w:jc w:val="both"/>
        <w:rPr>
          <w:rFonts w:ascii="Calibri" w:hAnsi="Calibri" w:cs="Calibri"/>
        </w:rPr>
      </w:pPr>
      <w:r w:rsidRPr="007D30F7">
        <w:rPr>
          <w:rFonts w:ascii="Calibri" w:hAnsi="Calibri" w:cs="Calibri"/>
        </w:rPr>
        <w:t>Au total, les travaux 2024 sur CSI se caractérisent par une démarche d’intégration du premier prototype et de qualification en environnement, au cours de laquelle nous avons dû adresser des verrous techniques de sûreté électrique et mettre en place une stratégie de tests visant l’exhaustivité. Les évolutions d’exigences de sécurité ont imposé de reprendre les isolements et les distances entre pistes, tandis que la qualification « bon de vol » a nécessité le développement d’un banc automatique et la mise au point de séquences de test exhaustives mais maîtrisées, dans un contexte DAL A, en gérant simultanément des difficultés de CEM liées aux commutations de relais et aux perturbations parasites induites par le banc.</w:t>
      </w:r>
    </w:p>
    <w:p w14:paraId="203E4283" w14:textId="637427C1" w:rsidR="005C6C4C" w:rsidRDefault="005C6C4C" w:rsidP="005C6C4C">
      <w:pPr>
        <w:pStyle w:val="Titre4"/>
      </w:pPr>
      <w:r>
        <w:t>Boussole électronique flux-</w:t>
      </w:r>
      <w:proofErr w:type="spellStart"/>
      <w:r>
        <w:t>gate</w:t>
      </w:r>
      <w:proofErr w:type="spellEnd"/>
    </w:p>
    <w:p w14:paraId="0F8A55BD" w14:textId="77777777" w:rsidR="005C6C4C" w:rsidRPr="00E94C98" w:rsidRDefault="005C6C4C" w:rsidP="005C6C4C">
      <w:pPr>
        <w:pStyle w:val="NormalWeb"/>
        <w:jc w:val="both"/>
        <w:rPr>
          <w:rFonts w:ascii="Calibri" w:hAnsi="Calibri" w:cs="Calibri"/>
        </w:rPr>
      </w:pPr>
      <w:r w:rsidRPr="00E94C98">
        <w:rPr>
          <w:rFonts w:ascii="Calibri" w:hAnsi="Calibri" w:cs="Calibri"/>
        </w:rPr>
        <w:t>En 2024, nous avons engagé et conduit les travaux du projet portant sur la mise au point d’un système de boussole électronique de type flux-</w:t>
      </w:r>
      <w:proofErr w:type="spellStart"/>
      <w:r w:rsidRPr="00E94C98">
        <w:rPr>
          <w:rFonts w:ascii="Calibri" w:hAnsi="Calibri" w:cs="Calibri"/>
        </w:rPr>
        <w:t>gate</w:t>
      </w:r>
      <w:proofErr w:type="spellEnd"/>
      <w:r w:rsidRPr="00E94C98">
        <w:rPr>
          <w:rFonts w:ascii="Calibri" w:hAnsi="Calibri" w:cs="Calibri"/>
        </w:rPr>
        <w:t xml:space="preserve">. L’objectif opérationnel était de disposer d’une boussole électronique capable de fournir une indication fiable du nord magnétique dans des conditions d’utilisation variées, y compris lorsque l’équipement est déployé dans des zones géographiques éloignées de nos latitudes habituelles, tout en restant exploitable en présence d’environnements perturbés sur le plan électromagnétique, notamment en contexte radar et assimilé. </w:t>
      </w:r>
    </w:p>
    <w:p w14:paraId="4907E556" w14:textId="77777777" w:rsidR="005C6C4C" w:rsidRPr="008A2FBD" w:rsidRDefault="005C6C4C" w:rsidP="005C6C4C">
      <w:pPr>
        <w:pStyle w:val="NormalWeb"/>
        <w:jc w:val="both"/>
        <w:rPr>
          <w:rFonts w:ascii="Calibri" w:hAnsi="Calibri" w:cs="Calibri"/>
        </w:rPr>
      </w:pPr>
      <w:r w:rsidRPr="00E94C98">
        <w:rPr>
          <w:rFonts w:ascii="Calibri" w:hAnsi="Calibri" w:cs="Calibri"/>
        </w:rPr>
        <w:t xml:space="preserve">Les travaux 2024 ont été déclenchés par un retour client mettant en évidence un comportement problématique lors d’une utilisation en hémisphère sud. </w:t>
      </w:r>
      <w:commentRangeStart w:id="16"/>
      <w:r w:rsidRPr="00E94C98">
        <w:rPr>
          <w:rFonts w:ascii="Calibri" w:hAnsi="Calibri" w:cs="Calibri"/>
        </w:rPr>
        <w:t xml:space="preserve">Nous avons alors entrepris une phase d’analyse visant à identifier les conditions d’apparition du problème et son origine. </w:t>
      </w:r>
      <w:commentRangeEnd w:id="16"/>
      <w:r w:rsidRPr="00E94C98">
        <w:rPr>
          <w:rStyle w:val="Marquedecommentaire"/>
          <w:rFonts w:ascii="Calibri" w:eastAsiaTheme="minorHAnsi" w:hAnsi="Calibri" w:cs="Calibri"/>
          <w:kern w:val="2"/>
          <w:sz w:val="22"/>
          <w:szCs w:val="22"/>
          <w:lang w:eastAsia="en-US"/>
          <w14:ligatures w14:val="standardContextual"/>
        </w:rPr>
        <w:commentReference w:id="16"/>
      </w:r>
      <w:r w:rsidRPr="00E94C98">
        <w:rPr>
          <w:rFonts w:ascii="Calibri" w:hAnsi="Calibri" w:cs="Calibri"/>
        </w:rPr>
        <w:t xml:space="preserve">Cette phase a notamment montré que les bobines étaient calibrées en usine et que la méthode de calibration, satisfaisante en hémisphère nord, devenait incorrecte lors de déplacements en latitude, du fait de la variation des lignes de champ et de l’orientation du capteur par rapport à ces lignes. L’analyse a mis en évidence la difficulté intrinsèque liée à la manière dont la position du nord magnétique est déterminée, puisque seuls les axes X et Y sont utilisés pour établir l’information d’orientation. Or, la </w:t>
      </w:r>
      <w:r w:rsidRPr="00E94C98">
        <w:rPr>
          <w:rFonts w:ascii="Calibri" w:hAnsi="Calibri" w:cs="Calibri"/>
        </w:rPr>
        <w:lastRenderedPageBreak/>
        <w:t xml:space="preserve">norme du vecteur associé varie fortement selon la localisation géographique, et diffère notamment entre nos latitudes et la zone équatoriale. À l’équateur, la norme devient beaucoup plus importante, </w:t>
      </w:r>
      <w:r w:rsidRPr="008A2FBD">
        <w:rPr>
          <w:rFonts w:ascii="Calibri" w:hAnsi="Calibri" w:cs="Calibri"/>
        </w:rPr>
        <w:t xml:space="preserve">ce qui génère des phénomènes de saturation et conduit à des comportements dégradés, rendant insuffisant le dispositif de calibration initial pour garantir une mesure robuste sur l’ensemble du globe. </w:t>
      </w:r>
    </w:p>
    <w:p w14:paraId="4EF5FE7D" w14:textId="77777777" w:rsidR="005C6C4C" w:rsidRPr="008A2FBD" w:rsidRDefault="005C6C4C" w:rsidP="005C6C4C">
      <w:pPr>
        <w:pStyle w:val="NormalWeb"/>
        <w:jc w:val="both"/>
        <w:rPr>
          <w:rFonts w:ascii="Calibri" w:hAnsi="Calibri" w:cs="Calibri"/>
        </w:rPr>
      </w:pPr>
      <w:r w:rsidRPr="008A2FBD">
        <w:rPr>
          <w:rFonts w:ascii="Calibri" w:hAnsi="Calibri" w:cs="Calibri"/>
        </w:rPr>
        <w:t xml:space="preserve">Face à ce problème, nos travaux ont consisté à reprendre le système afin de mettre au point un nouveau mode de </w:t>
      </w:r>
      <w:commentRangeStart w:id="17"/>
      <w:r w:rsidRPr="008A2FBD">
        <w:rPr>
          <w:rFonts w:ascii="Calibri" w:hAnsi="Calibri" w:cs="Calibri"/>
        </w:rPr>
        <w:t>calibration des bobines</w:t>
      </w:r>
      <w:commentRangeEnd w:id="17"/>
      <w:r w:rsidRPr="008A2FBD">
        <w:rPr>
          <w:rStyle w:val="Marquedecommentaire"/>
          <w:rFonts w:ascii="Calibri" w:eastAsiaTheme="minorHAnsi" w:hAnsi="Calibri" w:cs="Calibri"/>
          <w:kern w:val="2"/>
          <w:sz w:val="22"/>
          <w:szCs w:val="22"/>
          <w:lang w:eastAsia="en-US"/>
          <w14:ligatures w14:val="standardContextual"/>
        </w:rPr>
        <w:commentReference w:id="17"/>
      </w:r>
      <w:r w:rsidRPr="008A2FBD">
        <w:rPr>
          <w:rFonts w:ascii="Calibri" w:hAnsi="Calibri" w:cs="Calibri"/>
        </w:rPr>
        <w:t>, spécifiquement adapté aux changements de latitude et à l’orientation variable du capteur par rapport aux lignes de champ. Le phénomène général est connu, mais la difficulté technique résidait dans la capacité à établir un système de calibration qui n’existait pas dans notre contexte d’intégration, et surtout à le rendre pertinent dans des environnements bruités d’un point de vue électromagnétique. Dans cette logique, nous avons considéré, lors de la mise au point, la contrainte de fonctionnement en environnement CEM perturbé, en tenant compte des agressions liées aux radars et aux autres sources de bruit.</w:t>
      </w:r>
    </w:p>
    <w:p w14:paraId="1A3F45FB" w14:textId="3CDD10E6" w:rsidR="005C6C4C" w:rsidRPr="008A2FBD" w:rsidRDefault="005C6C4C" w:rsidP="005C6C4C">
      <w:pPr>
        <w:pStyle w:val="NormalWeb"/>
        <w:jc w:val="both"/>
        <w:rPr>
          <w:rFonts w:ascii="Calibri" w:hAnsi="Calibri" w:cs="Calibri"/>
        </w:rPr>
      </w:pPr>
      <w:r w:rsidRPr="008A2FBD">
        <w:rPr>
          <w:rFonts w:ascii="Calibri" w:hAnsi="Calibri" w:cs="Calibri"/>
        </w:rPr>
        <w:t xml:space="preserve">Enfin, la démarche de mise au point a fait apparaître un besoin critique de moyens d’essais adaptés. La difficulté technique, pour être levée de façon démonstrative, impose de disposer d’un équipement permettant de tester les boussoles dans un maximum de configurations afin de s’assurer qu’elles fonctionneront correctement à n’importe quel endroit du globe. Cela implique de pouvoir créer des champs magnétiques représentatifs pour les essais. En 2024, nous avons donc dû concevoir des </w:t>
      </w:r>
      <w:commentRangeStart w:id="18"/>
      <w:r w:rsidRPr="008A2FBD">
        <w:rPr>
          <w:rFonts w:ascii="Calibri" w:hAnsi="Calibri" w:cs="Calibri"/>
        </w:rPr>
        <w:t xml:space="preserve">outillages spécifiques </w:t>
      </w:r>
      <w:commentRangeEnd w:id="18"/>
      <w:r w:rsidRPr="008A2FBD">
        <w:rPr>
          <w:rStyle w:val="Marquedecommentaire"/>
          <w:rFonts w:ascii="Calibri" w:eastAsiaTheme="minorHAnsi" w:hAnsi="Calibri" w:cs="Calibri"/>
          <w:kern w:val="2"/>
          <w:sz w:val="22"/>
          <w:szCs w:val="22"/>
          <w:lang w:eastAsia="en-US"/>
          <w14:ligatures w14:val="standardContextual"/>
        </w:rPr>
        <w:commentReference w:id="18"/>
      </w:r>
      <w:r w:rsidRPr="008A2FBD">
        <w:rPr>
          <w:rFonts w:ascii="Calibri" w:hAnsi="Calibri" w:cs="Calibri"/>
        </w:rPr>
        <w:t xml:space="preserve">destinés à reproduire ces configurations et à soutenir la validation du nouveau système de calibration dans des </w:t>
      </w:r>
      <w:commentRangeStart w:id="19"/>
      <w:r w:rsidRPr="008A2FBD">
        <w:rPr>
          <w:rFonts w:ascii="Calibri" w:hAnsi="Calibri" w:cs="Calibri"/>
        </w:rPr>
        <w:t>conditions de tests maîtrisées et reproductibles.</w:t>
      </w:r>
      <w:commentRangeEnd w:id="19"/>
      <w:r w:rsidRPr="008A2FBD">
        <w:rPr>
          <w:rStyle w:val="Marquedecommentaire"/>
          <w:rFonts w:ascii="Calibri" w:eastAsiaTheme="minorHAnsi" w:hAnsi="Calibri" w:cs="Calibri"/>
          <w:kern w:val="2"/>
          <w:sz w:val="22"/>
          <w:szCs w:val="22"/>
          <w:lang w:eastAsia="en-US"/>
          <w14:ligatures w14:val="standardContextual"/>
        </w:rPr>
        <w:commentReference w:id="19"/>
      </w:r>
    </w:p>
    <w:p w14:paraId="3809188A" w14:textId="77777777" w:rsidR="005C6C4C" w:rsidRDefault="005C6C4C" w:rsidP="00F17B37">
      <w:pPr>
        <w:spacing w:before="120" w:beforeAutospacing="0" w:after="120" w:afterAutospacing="0"/>
      </w:pPr>
    </w:p>
    <w:p w14:paraId="725B52D2" w14:textId="77777777" w:rsidR="00F17B37" w:rsidRDefault="00F17B37" w:rsidP="00F17B37">
      <w:pPr>
        <w:spacing w:before="120" w:beforeAutospacing="0" w:after="120" w:afterAutospacing="0"/>
        <w:sectPr w:rsidR="00F17B37" w:rsidSect="00D15A64">
          <w:headerReference w:type="default" r:id="rId13"/>
          <w:footerReference w:type="default" r:id="rId14"/>
          <w:pgSz w:w="11906" w:h="16838"/>
          <w:pgMar w:top="1418" w:right="1418" w:bottom="1701" w:left="1418" w:header="567" w:footer="567" w:gutter="0"/>
          <w:cols w:space="720"/>
          <w:titlePg/>
          <w:docGrid w:linePitch="326"/>
        </w:sectPr>
      </w:pPr>
    </w:p>
    <w:p w14:paraId="348535E8" w14:textId="77777777" w:rsidR="00F17B37" w:rsidRPr="007801C8" w:rsidRDefault="00F17B37" w:rsidP="00F17B37">
      <w:pPr>
        <w:pStyle w:val="Titre3"/>
        <w:numPr>
          <w:ilvl w:val="0"/>
          <w:numId w:val="2"/>
        </w:numPr>
        <w:ind w:left="1080"/>
      </w:pPr>
      <w:bookmarkStart w:id="20" w:name="_Toc150789237"/>
      <w:commentRangeStart w:id="21"/>
      <w:r>
        <w:lastRenderedPageBreak/>
        <w:t>Ressources humaines</w:t>
      </w:r>
      <w:bookmarkEnd w:id="20"/>
      <w:commentRangeEnd w:id="21"/>
      <w:r>
        <w:rPr>
          <w:rStyle w:val="Marquedecommentaire"/>
          <w:b w:val="0"/>
          <w:bCs w:val="0"/>
        </w:rPr>
        <w:commentReference w:id="21"/>
      </w:r>
    </w:p>
    <w:p w14:paraId="7571C33E" w14:textId="77777777" w:rsidR="00F17B37" w:rsidRDefault="00F17B37" w:rsidP="00F17B37">
      <w:pPr>
        <w:sectPr w:rsidR="00F17B37" w:rsidSect="00B54687">
          <w:pgSz w:w="16838" w:h="11906" w:orient="landscape"/>
          <w:pgMar w:top="1417" w:right="1417" w:bottom="1417" w:left="1417" w:header="708" w:footer="708" w:gutter="0"/>
          <w:cols w:space="708"/>
          <w:docGrid w:linePitch="360"/>
        </w:sectPr>
      </w:pPr>
    </w:p>
    <w:p w14:paraId="285C2A0B" w14:textId="77777777" w:rsidR="00F17B37" w:rsidRDefault="00F17B37" w:rsidP="00F17B37">
      <w:pPr>
        <w:pStyle w:val="Titre3"/>
        <w:numPr>
          <w:ilvl w:val="0"/>
          <w:numId w:val="2"/>
        </w:numPr>
        <w:ind w:left="1080"/>
      </w:pPr>
      <w:r>
        <w:lastRenderedPageBreak/>
        <w:t xml:space="preserve">Partenariat </w:t>
      </w:r>
      <w:commentRangeStart w:id="22"/>
      <w:r>
        <w:t>scientifique et recherche confiée</w:t>
      </w:r>
      <w:commentRangeEnd w:id="22"/>
      <w:r>
        <w:rPr>
          <w:rStyle w:val="Marquedecommentaire"/>
          <w:b w:val="0"/>
          <w:bCs w:val="0"/>
        </w:rPr>
        <w:commentReference w:id="22"/>
      </w:r>
    </w:p>
    <w:sectPr w:rsidR="00F17B37" w:rsidSect="007801C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Léo Lecuyer" w:date="2026-01-20T11:42:00Z" w:initials="LL">
    <w:p w14:paraId="7D2D7C0C" w14:textId="77777777" w:rsidR="005C6C4C" w:rsidRDefault="005C6C4C" w:rsidP="005C6C4C">
      <w:pPr>
        <w:pStyle w:val="Commentaire"/>
      </w:pPr>
      <w:r>
        <w:rPr>
          <w:rStyle w:val="Marquedecommentaire"/>
        </w:rPr>
        <w:annotationRef/>
      </w:r>
      <w:r>
        <w:t>Confirmez-vous cette affirmation ?</w:t>
      </w:r>
    </w:p>
  </w:comment>
  <w:comment w:id="6" w:author="Léo Lecuyer" w:date="2026-01-20T11:43:00Z" w:initials="LL">
    <w:p w14:paraId="54FCE5E6" w14:textId="77777777" w:rsidR="005C6C4C" w:rsidRPr="00E97297" w:rsidRDefault="005C6C4C" w:rsidP="005C6C4C">
      <w:pPr>
        <w:pStyle w:val="NormalWeb"/>
        <w:rPr>
          <w:rFonts w:hAnsi="Symbol"/>
        </w:rPr>
      </w:pPr>
      <w:r>
        <w:rPr>
          <w:rStyle w:val="Marquedecommentaire"/>
        </w:rPr>
        <w:annotationRef/>
      </w:r>
      <w:r>
        <w:t>Pourriez-vous nous transmettre davantage d’informations à ce sujet (hypothèses de calcul, protocole, critères de comparaison, synthèse chiffrée) ?</w:t>
      </w:r>
    </w:p>
    <w:p w14:paraId="050C870B" w14:textId="77777777" w:rsidR="005C6C4C" w:rsidRDefault="005C6C4C" w:rsidP="005C6C4C">
      <w:pPr>
        <w:pStyle w:val="Commentaire"/>
      </w:pPr>
    </w:p>
  </w:comment>
  <w:comment w:id="7" w:author="Léo Lecuyer" w:date="2026-01-20T14:59:00Z" w:initials="LL">
    <w:p w14:paraId="4CA56658" w14:textId="77777777" w:rsidR="005C6C4C" w:rsidRDefault="005C6C4C" w:rsidP="005C6C4C">
      <w:pPr>
        <w:pStyle w:val="Commentaire"/>
      </w:pPr>
      <w:r>
        <w:rPr>
          <w:rStyle w:val="Marquedecommentaire"/>
        </w:rPr>
        <w:annotationRef/>
      </w:r>
      <w:r>
        <w:t>Quel critère de conformité est atteint ?</w:t>
      </w:r>
    </w:p>
  </w:comment>
  <w:comment w:id="8" w:author="Léo Lecuyer" w:date="2026-01-20T11:59:00Z" w:initials="LL">
    <w:p w14:paraId="00542466" w14:textId="77777777" w:rsidR="005C6C4C" w:rsidRDefault="005C6C4C" w:rsidP="005C6C4C">
      <w:pPr>
        <w:pStyle w:val="Commentaire"/>
      </w:pPr>
      <w:r>
        <w:rPr>
          <w:rStyle w:val="Marquedecommentaire"/>
        </w:rPr>
        <w:annotationRef/>
      </w:r>
      <w:r>
        <w:t>Pouvez-vous nous transmettre les notes de calcul à 60 bars ou nous fournir davantage d’informations ?</w:t>
      </w:r>
    </w:p>
  </w:comment>
  <w:comment w:id="9" w:author="Léo Lecuyer" w:date="2026-01-20T14:40:00Z" w:initials="LL">
    <w:p w14:paraId="37051C25" w14:textId="77777777" w:rsidR="005C6C4C" w:rsidRDefault="005C6C4C" w:rsidP="005C6C4C">
      <w:pPr>
        <w:pStyle w:val="Commentaire"/>
      </w:pPr>
      <w:r>
        <w:rPr>
          <w:rStyle w:val="Marquedecommentaire"/>
        </w:rPr>
        <w:annotationRef/>
      </w:r>
      <w:r>
        <w:t>Avez-vous une liste des modifications apportées à l’alimentation ? Disposez-vous de données chiffrées sur le nouveau test et quel a été le verdict de conformité après modification ?</w:t>
      </w:r>
    </w:p>
  </w:comment>
  <w:comment w:id="10" w:author="Léo Lecuyer" w:date="2026-01-20T14:47:00Z" w:initials="LL">
    <w:p w14:paraId="5A158F08" w14:textId="77777777" w:rsidR="005C6C4C" w:rsidRDefault="005C6C4C" w:rsidP="005C6C4C">
      <w:pPr>
        <w:pStyle w:val="Commentaire"/>
      </w:pPr>
      <w:r>
        <w:rPr>
          <w:rStyle w:val="Marquedecommentaire"/>
        </w:rPr>
        <w:annotationRef/>
      </w:r>
      <w:r>
        <w:t>Confirmez-vous cette affirmation ?</w:t>
      </w:r>
    </w:p>
  </w:comment>
  <w:comment w:id="11" w:author="Léo Lecuyer" w:date="2026-01-21T15:08:00Z" w:initials="LL">
    <w:p w14:paraId="7C2DFFDF" w14:textId="13A497A2" w:rsidR="005C6C4C" w:rsidRDefault="005C6C4C">
      <w:pPr>
        <w:pStyle w:val="Commentaire"/>
      </w:pPr>
      <w:r>
        <w:rPr>
          <w:rStyle w:val="Marquedecommentaire"/>
        </w:rPr>
        <w:annotationRef/>
      </w:r>
      <w:r>
        <w:t>Pouvez-vous transmettre les documents relatifs aux PCB et aux bancs de test ?</w:t>
      </w:r>
    </w:p>
  </w:comment>
  <w:comment w:id="12" w:author="Léo Lecuyer" w:date="2026-01-20T15:52:00Z" w:initials="LL">
    <w:p w14:paraId="76A68DF3" w14:textId="77777777" w:rsidR="005C6C4C" w:rsidRDefault="005C6C4C" w:rsidP="005C6C4C">
      <w:pPr>
        <w:pStyle w:val="Commentaire"/>
      </w:pPr>
      <w:r>
        <w:rPr>
          <w:rStyle w:val="Marquedecommentaire"/>
        </w:rPr>
        <w:annotationRef/>
      </w:r>
      <w:r>
        <w:t>Quelles exigences de sécurité ont changé en 2024 ?</w:t>
      </w:r>
    </w:p>
  </w:comment>
  <w:comment w:id="13" w:author="Léo Lecuyer" w:date="2026-01-20T15:55:00Z" w:initials="LL">
    <w:p w14:paraId="6EA0A713" w14:textId="77777777" w:rsidR="005C6C4C" w:rsidRDefault="005C6C4C" w:rsidP="005C6C4C">
      <w:pPr>
        <w:pStyle w:val="Commentaire"/>
      </w:pPr>
      <w:r>
        <w:rPr>
          <w:rStyle w:val="Marquedecommentaire"/>
        </w:rPr>
        <w:annotationRef/>
      </w:r>
      <w:r>
        <w:t>Quelles sont les modifications concrètes ?</w:t>
      </w:r>
    </w:p>
  </w:comment>
  <w:comment w:id="14" w:author="Léo Lecuyer" w:date="2026-01-20T17:15:00Z" w:initials="LL">
    <w:p w14:paraId="2436713A" w14:textId="77777777" w:rsidR="005C6C4C" w:rsidRDefault="005C6C4C" w:rsidP="005C6C4C">
      <w:pPr>
        <w:pStyle w:val="Commentaire"/>
      </w:pPr>
      <w:r>
        <w:rPr>
          <w:rStyle w:val="Marquedecommentaire"/>
        </w:rPr>
        <w:annotationRef/>
      </w:r>
      <w:r>
        <w:t xml:space="preserve"> Que voulez-vous dire par « optimisations intelligentes » (quelles méthodes d’optimisation sont utilisées) ?</w:t>
      </w:r>
    </w:p>
  </w:comment>
  <w:comment w:id="15" w:author="Léo Lecuyer" w:date="2026-01-20T17:43:00Z" w:initials="LL">
    <w:p w14:paraId="57A27225" w14:textId="77777777" w:rsidR="005C6C4C" w:rsidRDefault="005C6C4C" w:rsidP="005C6C4C">
      <w:pPr>
        <w:pStyle w:val="Commentaire"/>
      </w:pPr>
      <w:r>
        <w:rPr>
          <w:rStyle w:val="Marquedecommentaire"/>
        </w:rPr>
        <w:annotationRef/>
      </w:r>
      <w:r>
        <w:t>Confirmez-vous cette affirmation ?</w:t>
      </w:r>
    </w:p>
  </w:comment>
  <w:comment w:id="16" w:author="Léo Lecuyer" w:date="2026-01-21T10:35:00Z" w:initials="LL">
    <w:p w14:paraId="4699926B" w14:textId="77777777" w:rsidR="005C6C4C" w:rsidRDefault="005C6C4C" w:rsidP="005C6C4C">
      <w:pPr>
        <w:pStyle w:val="Commentaire"/>
      </w:pPr>
      <w:r>
        <w:rPr>
          <w:rStyle w:val="Marquedecommentaire"/>
        </w:rPr>
        <w:annotationRef/>
      </w:r>
      <w:r>
        <w:t>Quel protocole a été mis en place pour entreprendre cette phase d’analyse ?</w:t>
      </w:r>
    </w:p>
  </w:comment>
  <w:comment w:id="17" w:author="Léo Lecuyer" w:date="2026-01-21T10:41:00Z" w:initials="LL">
    <w:p w14:paraId="0C92E66B" w14:textId="77777777" w:rsidR="005C6C4C" w:rsidRDefault="005C6C4C" w:rsidP="005C6C4C">
      <w:pPr>
        <w:pStyle w:val="Commentaire"/>
      </w:pPr>
      <w:r>
        <w:rPr>
          <w:rStyle w:val="Marquedecommentaire"/>
        </w:rPr>
        <w:annotationRef/>
      </w:r>
      <w:r>
        <w:t>En quoi consiste ce nouveau mode de calibration ?</w:t>
      </w:r>
    </w:p>
    <w:p w14:paraId="7A9E5EA6" w14:textId="77777777" w:rsidR="005C6C4C" w:rsidRDefault="005C6C4C" w:rsidP="005C6C4C">
      <w:pPr>
        <w:pStyle w:val="Commentaire"/>
      </w:pPr>
      <w:r>
        <w:t>Avez-vous un rapport d’essais présentant une comparaison avant/après</w:t>
      </w:r>
    </w:p>
  </w:comment>
  <w:comment w:id="18" w:author="Léo Lecuyer" w:date="2026-01-21T10:32:00Z" w:initials="LL">
    <w:p w14:paraId="28A206F5" w14:textId="77777777" w:rsidR="005C6C4C" w:rsidRDefault="005C6C4C" w:rsidP="005C6C4C">
      <w:pPr>
        <w:pStyle w:val="Commentaire"/>
      </w:pPr>
      <w:r>
        <w:rPr>
          <w:rStyle w:val="Marquedecommentaire"/>
        </w:rPr>
        <w:annotationRef/>
      </w:r>
      <w:r>
        <w:t>Quels sont les outillages spécifiques ?</w:t>
      </w:r>
    </w:p>
  </w:comment>
  <w:comment w:id="19" w:author="Léo Lecuyer" w:date="2026-01-21T10:33:00Z" w:initials="LL">
    <w:p w14:paraId="6AF1BA32" w14:textId="77777777" w:rsidR="005C6C4C" w:rsidRDefault="005C6C4C" w:rsidP="005C6C4C">
      <w:pPr>
        <w:pStyle w:val="Commentaire"/>
      </w:pPr>
      <w:r>
        <w:rPr>
          <w:rStyle w:val="Marquedecommentaire"/>
        </w:rPr>
        <w:annotationRef/>
      </w:r>
      <w:r>
        <w:t>Pourriez-vous nous transmettre les données chiffrées des conditions de test ?</w:t>
      </w:r>
    </w:p>
  </w:comment>
  <w:comment w:id="21" w:author="Ferrari" w:date="2025-11-27T17:24:00Z" w:initials="S">
    <w:p w14:paraId="4CB6D201" w14:textId="77777777" w:rsidR="00F17B37" w:rsidRDefault="00F17B37" w:rsidP="00F17B37">
      <w:pPr>
        <w:pStyle w:val="Commentaire"/>
      </w:pPr>
      <w:r>
        <w:rPr>
          <w:rStyle w:val="Marquedecommentaire"/>
        </w:rPr>
        <w:annotationRef/>
      </w:r>
      <w:r>
        <w:t xml:space="preserve">A compléter par </w:t>
      </w:r>
      <w:proofErr w:type="spellStart"/>
      <w:r>
        <w:t>dynergie</w:t>
      </w:r>
      <w:proofErr w:type="spellEnd"/>
    </w:p>
  </w:comment>
  <w:comment w:id="22" w:author="Ferrari" w:date="2025-11-27T17:24:00Z" w:initials="S">
    <w:p w14:paraId="1CA33FB7" w14:textId="77777777" w:rsidR="00F17B37" w:rsidRDefault="00F17B37" w:rsidP="00F17B37">
      <w:pPr>
        <w:pStyle w:val="Commentaire"/>
      </w:pPr>
      <w:r>
        <w:rPr>
          <w:rStyle w:val="Marquedecommentaire"/>
        </w:rPr>
        <w:annotationRef/>
      </w:r>
      <w:r>
        <w:t xml:space="preserve">A compléter par </w:t>
      </w:r>
      <w:proofErr w:type="spellStart"/>
      <w:r>
        <w:t>dynergie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D7C0C" w15:done="0"/>
  <w15:commentEx w15:paraId="050C870B" w15:done="0"/>
  <w15:commentEx w15:paraId="4CA56658" w15:done="0"/>
  <w15:commentEx w15:paraId="00542466" w15:done="0"/>
  <w15:commentEx w15:paraId="37051C25" w15:done="0"/>
  <w15:commentEx w15:paraId="5A158F08" w15:done="0"/>
  <w15:commentEx w15:paraId="7C2DFFDF" w15:done="0"/>
  <w15:commentEx w15:paraId="76A68DF3" w15:done="0"/>
  <w15:commentEx w15:paraId="6EA0A713" w15:done="0"/>
  <w15:commentEx w15:paraId="2436713A" w15:done="0"/>
  <w15:commentEx w15:paraId="57A27225" w15:done="0"/>
  <w15:commentEx w15:paraId="4699926B" w15:done="0"/>
  <w15:commentEx w15:paraId="7A9E5EA6" w15:done="0"/>
  <w15:commentEx w15:paraId="28A206F5" w15:done="0"/>
  <w15:commentEx w15:paraId="6AF1BA32" w15:done="0"/>
  <w15:commentEx w15:paraId="4CB6D201" w15:done="0"/>
  <w15:commentEx w15:paraId="1CA33F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FD88BD" w16cex:dateUtc="2026-01-20T10:42:00Z"/>
  <w16cex:commentExtensible w16cex:durableId="45F929B4" w16cex:dateUtc="2026-01-20T10:43:00Z"/>
  <w16cex:commentExtensible w16cex:durableId="07BECB19" w16cex:dateUtc="2026-01-20T13:59:00Z"/>
  <w16cex:commentExtensible w16cex:durableId="5FF3A4DD" w16cex:dateUtc="2026-01-20T10:59:00Z"/>
  <w16cex:commentExtensible w16cex:durableId="71AEECD4" w16cex:dateUtc="2026-01-20T13:40:00Z"/>
  <w16cex:commentExtensible w16cex:durableId="0CD63318" w16cex:dateUtc="2026-01-20T13:47:00Z"/>
  <w16cex:commentExtensible w16cex:durableId="4526737E" w16cex:dateUtc="2026-01-21T14:08:00Z"/>
  <w16cex:commentExtensible w16cex:durableId="6A61DAD3" w16cex:dateUtc="2026-01-20T14:52:00Z"/>
  <w16cex:commentExtensible w16cex:durableId="6F4B59BA" w16cex:dateUtc="2026-01-20T14:55:00Z"/>
  <w16cex:commentExtensible w16cex:durableId="6222AD29" w16cex:dateUtc="2026-01-20T16:15:00Z"/>
  <w16cex:commentExtensible w16cex:durableId="54D5F1DE" w16cex:dateUtc="2026-01-20T16:43:00Z"/>
  <w16cex:commentExtensible w16cex:durableId="193F2C47" w16cex:dateUtc="2026-01-21T09:35:00Z"/>
  <w16cex:commentExtensible w16cex:durableId="486523C5" w16cex:dateUtc="2026-01-21T09:41:00Z"/>
  <w16cex:commentExtensible w16cex:durableId="45A6AF43" w16cex:dateUtc="2026-01-21T09:32:00Z"/>
  <w16cex:commentExtensible w16cex:durableId="2DE8EF55" w16cex:dateUtc="2026-01-21T09:33:00Z"/>
  <w16cex:commentExtensible w16cex:durableId="14FC6C10" w16cex:dateUtc="2025-11-27T16:24:00Z"/>
  <w16cex:commentExtensible w16cex:durableId="79FDE205" w16cex:dateUtc="2025-11-27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D7C0C" w16cid:durableId="7FFD88BD"/>
  <w16cid:commentId w16cid:paraId="050C870B" w16cid:durableId="45F929B4"/>
  <w16cid:commentId w16cid:paraId="4CA56658" w16cid:durableId="07BECB19"/>
  <w16cid:commentId w16cid:paraId="00542466" w16cid:durableId="5FF3A4DD"/>
  <w16cid:commentId w16cid:paraId="37051C25" w16cid:durableId="71AEECD4"/>
  <w16cid:commentId w16cid:paraId="5A158F08" w16cid:durableId="0CD63318"/>
  <w16cid:commentId w16cid:paraId="7C2DFFDF" w16cid:durableId="4526737E"/>
  <w16cid:commentId w16cid:paraId="76A68DF3" w16cid:durableId="6A61DAD3"/>
  <w16cid:commentId w16cid:paraId="6EA0A713" w16cid:durableId="6F4B59BA"/>
  <w16cid:commentId w16cid:paraId="2436713A" w16cid:durableId="6222AD29"/>
  <w16cid:commentId w16cid:paraId="57A27225" w16cid:durableId="54D5F1DE"/>
  <w16cid:commentId w16cid:paraId="4699926B" w16cid:durableId="193F2C47"/>
  <w16cid:commentId w16cid:paraId="7A9E5EA6" w16cid:durableId="486523C5"/>
  <w16cid:commentId w16cid:paraId="28A206F5" w16cid:durableId="45A6AF43"/>
  <w16cid:commentId w16cid:paraId="6AF1BA32" w16cid:durableId="2DE8EF55"/>
  <w16cid:commentId w16cid:paraId="4CB6D201" w16cid:durableId="14FC6C10"/>
  <w16cid:commentId w16cid:paraId="1CA33FB7" w16cid:durableId="79FDE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8BCC" w14:textId="77777777" w:rsidR="004D3DD7" w:rsidRDefault="004D3DD7" w:rsidP="00F17B37">
      <w:pPr>
        <w:spacing w:before="0" w:after="0"/>
      </w:pPr>
      <w:r>
        <w:separator/>
      </w:r>
    </w:p>
  </w:endnote>
  <w:endnote w:type="continuationSeparator" w:id="0">
    <w:p w14:paraId="135DAAB3" w14:textId="77777777" w:rsidR="004D3DD7" w:rsidRDefault="004D3DD7" w:rsidP="00F17B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9AC9" w14:textId="77777777" w:rsidR="00F17B37" w:rsidRDefault="00F17B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0FC2" w14:textId="77777777" w:rsidR="004D3DD7" w:rsidRDefault="004D3DD7" w:rsidP="00F17B37">
      <w:pPr>
        <w:spacing w:before="0" w:after="0"/>
      </w:pPr>
      <w:r>
        <w:separator/>
      </w:r>
    </w:p>
  </w:footnote>
  <w:footnote w:type="continuationSeparator" w:id="0">
    <w:p w14:paraId="5EE98254" w14:textId="77777777" w:rsidR="004D3DD7" w:rsidRDefault="004D3DD7" w:rsidP="00F17B37">
      <w:pPr>
        <w:spacing w:before="0" w:after="0"/>
      </w:pPr>
      <w:r>
        <w:continuationSeparator/>
      </w:r>
    </w:p>
  </w:footnote>
  <w:footnote w:id="1">
    <w:p w14:paraId="48DA0D70" w14:textId="77777777" w:rsidR="00F17B37" w:rsidRPr="00087F07" w:rsidRDefault="00F17B37" w:rsidP="00F17B37">
      <w:pPr>
        <w:pStyle w:val="Notedebasdepage"/>
        <w:spacing w:before="0" w:beforeAutospacing="0" w:after="0" w:afterAutospacing="0"/>
        <w:rPr>
          <w:lang w:val="en-US"/>
        </w:rPr>
      </w:pPr>
      <w:r>
        <w:rPr>
          <w:rStyle w:val="Appelnotedebasdep"/>
        </w:rPr>
        <w:footnoteRef/>
      </w:r>
      <w:r>
        <w:t xml:space="preserve"> </w:t>
      </w:r>
      <w:r w:rsidRPr="004F5380">
        <w:t xml:space="preserve">BOUDEHENN, Clet, JACQ, Olivier, LANNUZEL, Maxence, et al. </w:t>
      </w:r>
      <w:r w:rsidRPr="004F5380">
        <w:rPr>
          <w:lang w:val="en-US"/>
        </w:rPr>
        <w:t xml:space="preserve">Navigation anomaly detection: An added value for maritime cyber situational awareness. </w:t>
      </w:r>
      <w:proofErr w:type="gramStart"/>
      <w:r w:rsidRPr="004F5380">
        <w:rPr>
          <w:lang w:val="en-US"/>
        </w:rPr>
        <w:t>In :</w:t>
      </w:r>
      <w:proofErr w:type="gramEnd"/>
      <w:r w:rsidRPr="004F5380">
        <w:rPr>
          <w:lang w:val="en-US"/>
        </w:rPr>
        <w:t xml:space="preserve"> 2021 International Conference on Cyber Situational Awareness, Data Analytics and Assessment (</w:t>
      </w:r>
      <w:proofErr w:type="spellStart"/>
      <w:r w:rsidRPr="004F5380">
        <w:rPr>
          <w:lang w:val="en-US"/>
        </w:rPr>
        <w:t>CyberSA</w:t>
      </w:r>
      <w:proofErr w:type="spellEnd"/>
      <w:r w:rsidRPr="004F5380">
        <w:rPr>
          <w:lang w:val="en-US"/>
        </w:rPr>
        <w:t xml:space="preserve">). </w:t>
      </w:r>
      <w:r w:rsidRPr="00087F07">
        <w:rPr>
          <w:lang w:val="en-US"/>
        </w:rPr>
        <w:t>IEEE, 2021. p. 1-4.</w:t>
      </w:r>
    </w:p>
  </w:footnote>
  <w:footnote w:id="2">
    <w:p w14:paraId="70424B7E" w14:textId="77777777" w:rsidR="00F17B37" w:rsidRPr="0098574E" w:rsidRDefault="00F17B37" w:rsidP="00F17B37">
      <w:pPr>
        <w:pStyle w:val="Notedebasdepage"/>
        <w:spacing w:before="0" w:beforeAutospacing="0" w:after="0" w:afterAutospacing="0"/>
        <w:rPr>
          <w:lang w:val="en-US"/>
        </w:rPr>
      </w:pPr>
      <w:r>
        <w:rPr>
          <w:rStyle w:val="Appelnotedebasdep"/>
        </w:rPr>
        <w:footnoteRef/>
      </w:r>
      <w:r w:rsidRPr="004F5380">
        <w:rPr>
          <w:lang w:val="en-US"/>
        </w:rPr>
        <w:t xml:space="preserve"> MEDNIKAROV, </w:t>
      </w:r>
      <w:proofErr w:type="spellStart"/>
      <w:r w:rsidRPr="004F5380">
        <w:rPr>
          <w:lang w:val="en-US"/>
        </w:rPr>
        <w:t>Boyan</w:t>
      </w:r>
      <w:proofErr w:type="spellEnd"/>
      <w:r w:rsidRPr="004F5380">
        <w:rPr>
          <w:lang w:val="en-US"/>
        </w:rPr>
        <w:t xml:space="preserve">, TSONEV, </w:t>
      </w:r>
      <w:proofErr w:type="spellStart"/>
      <w:r w:rsidRPr="004F5380">
        <w:rPr>
          <w:lang w:val="en-US"/>
        </w:rPr>
        <w:t>Yuliyan</w:t>
      </w:r>
      <w:proofErr w:type="spellEnd"/>
      <w:r w:rsidRPr="004F5380">
        <w:rPr>
          <w:lang w:val="en-US"/>
        </w:rPr>
        <w:t xml:space="preserve">, et LAZAROV, Andon. Analysis of cybersecurity issues in the maritime industry. </w:t>
      </w:r>
      <w:r w:rsidRPr="0098574E">
        <w:rPr>
          <w:lang w:val="en-US"/>
        </w:rPr>
        <w:t>Information &amp; Security, 2020, vol. 47, no 1, p. 27-43.</w:t>
      </w:r>
    </w:p>
  </w:footnote>
  <w:footnote w:id="3">
    <w:p w14:paraId="3A570E65" w14:textId="77777777" w:rsidR="00F17B37" w:rsidRPr="0098574E" w:rsidRDefault="00F17B37" w:rsidP="00F17B37">
      <w:pPr>
        <w:pStyle w:val="Notedebasdepage"/>
        <w:spacing w:before="0" w:beforeAutospacing="0" w:after="0" w:afterAutospacing="0"/>
        <w:rPr>
          <w:lang w:val="en-US"/>
        </w:rPr>
      </w:pPr>
      <w:r>
        <w:rPr>
          <w:rStyle w:val="Appelnotedebasdep"/>
        </w:rPr>
        <w:footnoteRef/>
      </w:r>
      <w:r w:rsidRPr="0098574E">
        <w:rPr>
          <w:lang w:val="en-US"/>
        </w:rPr>
        <w:t xml:space="preserve"> </w:t>
      </w:r>
      <w:proofErr w:type="spellStart"/>
      <w:proofErr w:type="gramStart"/>
      <w:r w:rsidRPr="0098574E">
        <w:rPr>
          <w:lang w:val="en-US"/>
        </w:rPr>
        <w:t>N.Pelissero</w:t>
      </w:r>
      <w:proofErr w:type="spellEnd"/>
      <w:proofErr w:type="gramEnd"/>
      <w:r w:rsidRPr="0098574E">
        <w:rPr>
          <w:lang w:val="en-US"/>
        </w:rPr>
        <w:t xml:space="preserve">, P. Merino </w:t>
      </w:r>
      <w:proofErr w:type="spellStart"/>
      <w:r w:rsidRPr="0098574E">
        <w:rPr>
          <w:lang w:val="en-US"/>
        </w:rPr>
        <w:t>Laso</w:t>
      </w:r>
      <w:proofErr w:type="spellEnd"/>
      <w:r w:rsidRPr="0098574E">
        <w:rPr>
          <w:lang w:val="en-US"/>
        </w:rPr>
        <w:t xml:space="preserve"> et J. Puentes, Naval cyber-physical anomaly propagation analysis based on a quality assessed graph, 2020 International Conference on Cyber Situational Awareness, Data Analytics and Assessment (</w:t>
      </w:r>
      <w:proofErr w:type="spellStart"/>
      <w:r w:rsidRPr="0098574E">
        <w:rPr>
          <w:lang w:val="en-US"/>
        </w:rPr>
        <w:t>CyberSA</w:t>
      </w:r>
      <w:proofErr w:type="spellEnd"/>
      <w:r w:rsidRPr="0098574E">
        <w:rPr>
          <w:lang w:val="en-US"/>
        </w:rPr>
        <w:t>)</w:t>
      </w:r>
    </w:p>
  </w:footnote>
  <w:footnote w:id="4">
    <w:p w14:paraId="38D008A4" w14:textId="77777777" w:rsidR="00F17B37" w:rsidRPr="00BB19A0" w:rsidRDefault="00F17B37" w:rsidP="00F17B37">
      <w:pPr>
        <w:pStyle w:val="NormalWeb"/>
        <w:spacing w:before="0" w:beforeAutospacing="0" w:after="0" w:afterAutospacing="0"/>
        <w:rPr>
          <w:sz w:val="24"/>
          <w:szCs w:val="24"/>
          <w:lang w:val="en-US"/>
        </w:rPr>
      </w:pPr>
      <w:r>
        <w:rPr>
          <w:rStyle w:val="Appelnotedebasdep"/>
        </w:rPr>
        <w:footnoteRef/>
      </w:r>
      <w:r w:rsidRPr="001E6AF7">
        <w:rPr>
          <w:lang w:val="en-US"/>
        </w:rPr>
        <w:t xml:space="preserve"> </w:t>
      </w:r>
      <w:r w:rsidRPr="00D30FCE">
        <w:rPr>
          <w:rFonts w:ascii="Calibri" w:hAnsi="Calibri" w:cs="Calibri"/>
          <w:sz w:val="20"/>
          <w:szCs w:val="20"/>
          <w:lang w:val="en-US"/>
        </w:rPr>
        <w:t xml:space="preserve">MATHEW, </w:t>
      </w:r>
      <w:proofErr w:type="spellStart"/>
      <w:r w:rsidRPr="00D30FCE">
        <w:rPr>
          <w:rFonts w:ascii="Calibri" w:hAnsi="Calibri" w:cs="Calibri"/>
          <w:sz w:val="20"/>
          <w:szCs w:val="20"/>
          <w:lang w:val="en-US"/>
        </w:rPr>
        <w:t>Jithin</w:t>
      </w:r>
      <w:proofErr w:type="spellEnd"/>
      <w:r w:rsidRPr="00D30FCE">
        <w:rPr>
          <w:rFonts w:ascii="Calibri" w:hAnsi="Calibri" w:cs="Calibri"/>
          <w:sz w:val="20"/>
          <w:szCs w:val="20"/>
          <w:lang w:val="en-US"/>
        </w:rPr>
        <w:t xml:space="preserve"> et AJIKUMAR, S. Data Mining and Machine Learning Methods for Cyber Security Intrusion Detection. </w:t>
      </w:r>
      <w:r w:rsidRPr="00BB19A0">
        <w:rPr>
          <w:rFonts w:ascii="Calibri" w:hAnsi="Calibri" w:cs="Calibri"/>
          <w:sz w:val="20"/>
          <w:szCs w:val="20"/>
          <w:lang w:val="en-US"/>
        </w:rPr>
        <w:t>2017.</w:t>
      </w:r>
    </w:p>
  </w:footnote>
  <w:footnote w:id="5">
    <w:p w14:paraId="512B2302" w14:textId="77777777" w:rsidR="00F17B37" w:rsidRPr="00127FA9" w:rsidRDefault="00F17B37" w:rsidP="00F17B37">
      <w:pPr>
        <w:pStyle w:val="Notedebasdepage"/>
        <w:spacing w:before="0" w:beforeAutospacing="0" w:after="0" w:afterAutospacing="0"/>
        <w:rPr>
          <w:lang w:val="en-US"/>
        </w:rPr>
      </w:pPr>
      <w:r>
        <w:rPr>
          <w:rStyle w:val="Appelnotedebasdep"/>
        </w:rPr>
        <w:footnoteRef/>
      </w:r>
      <w:r w:rsidRPr="00816484">
        <w:rPr>
          <w:lang w:val="en-US"/>
        </w:rPr>
        <w:t xml:space="preserve"> </w:t>
      </w:r>
      <w:proofErr w:type="spellStart"/>
      <w:r w:rsidRPr="00816484">
        <w:rPr>
          <w:lang w:val="en-US"/>
        </w:rPr>
        <w:t>Holzschuh</w:t>
      </w:r>
      <w:proofErr w:type="spellEnd"/>
      <w:r w:rsidRPr="00816484">
        <w:rPr>
          <w:lang w:val="en-US"/>
        </w:rPr>
        <w:t xml:space="preserve">, J. E. (1977). Applications of pressure tolerant electronics. </w:t>
      </w:r>
      <w:r w:rsidRPr="00127FA9">
        <w:rPr>
          <w:lang w:val="en-US"/>
        </w:rPr>
        <w:t>In OCEANS '77 Conference Record (pp. 1-6). IEEE.</w:t>
      </w:r>
    </w:p>
  </w:footnote>
  <w:footnote w:id="6">
    <w:p w14:paraId="7EEAEA99" w14:textId="77777777" w:rsidR="00F17B37" w:rsidRPr="00816484" w:rsidRDefault="00F17B37" w:rsidP="00F17B37">
      <w:pPr>
        <w:pStyle w:val="Notedebasdepage"/>
        <w:spacing w:before="0" w:beforeAutospacing="0" w:after="0" w:afterAutospacing="0"/>
        <w:rPr>
          <w:lang w:val="en-US"/>
        </w:rPr>
      </w:pPr>
      <w:r>
        <w:rPr>
          <w:rStyle w:val="Appelnotedebasdep"/>
        </w:rPr>
        <w:footnoteRef/>
      </w:r>
      <w:r w:rsidRPr="00816484">
        <w:rPr>
          <w:lang w:val="en-US"/>
        </w:rPr>
        <w:t xml:space="preserve"> Sutton, "Pressure Tolerant Electronic Systems," OCEANS '79, San Diego, CA, USA, 1979, pp. 460-469, </w:t>
      </w:r>
      <w:proofErr w:type="spellStart"/>
      <w:r w:rsidRPr="00816484">
        <w:rPr>
          <w:lang w:val="en-US"/>
        </w:rPr>
        <w:t>doi</w:t>
      </w:r>
      <w:proofErr w:type="spellEnd"/>
      <w:r w:rsidRPr="00816484">
        <w:rPr>
          <w:lang w:val="en-US"/>
        </w:rPr>
        <w:t>: 10.1109/OCEANS.1979.1151321.</w:t>
      </w:r>
    </w:p>
  </w:footnote>
  <w:footnote w:id="7">
    <w:p w14:paraId="1536FED9" w14:textId="77777777" w:rsidR="00F17B37" w:rsidRPr="00816484" w:rsidRDefault="00F17B37" w:rsidP="00BB19A0">
      <w:pPr>
        <w:pStyle w:val="Notedebasdepage"/>
        <w:spacing w:before="0" w:beforeAutospacing="0" w:after="0" w:afterAutospacing="0"/>
        <w:rPr>
          <w:lang w:val="en-US"/>
        </w:rPr>
      </w:pPr>
      <w:r>
        <w:rPr>
          <w:rStyle w:val="Appelnotedebasdep"/>
        </w:rPr>
        <w:footnoteRef/>
      </w:r>
      <w:r w:rsidRPr="00816484">
        <w:rPr>
          <w:lang w:val="en-US"/>
        </w:rPr>
        <w:t xml:space="preserve"> M. </w:t>
      </w:r>
      <w:proofErr w:type="spellStart"/>
      <w:r w:rsidRPr="00816484">
        <w:rPr>
          <w:lang w:val="en-US"/>
        </w:rPr>
        <w:t>Lück</w:t>
      </w:r>
      <w:proofErr w:type="spellEnd"/>
      <w:r w:rsidRPr="00816484">
        <w:rPr>
          <w:lang w:val="en-US"/>
        </w:rPr>
        <w:t xml:space="preserve"> et al., "Pressure tolerant systems for deep sea applications," OCEANS'10 IEEE SYDNEY, Sydney, NSW, Australia, 2010, pp. 1-4, </w:t>
      </w:r>
      <w:proofErr w:type="spellStart"/>
      <w:r w:rsidRPr="00816484">
        <w:rPr>
          <w:lang w:val="en-US"/>
        </w:rPr>
        <w:t>doi</w:t>
      </w:r>
      <w:proofErr w:type="spellEnd"/>
      <w:r w:rsidRPr="00816484">
        <w:rPr>
          <w:lang w:val="en-US"/>
        </w:rPr>
        <w:t>: 10.1109/OCEANSSYD.2010.5603538.</w:t>
      </w:r>
    </w:p>
  </w:footnote>
  <w:footnote w:id="8">
    <w:p w14:paraId="79DB89B2" w14:textId="77777777" w:rsidR="00F17B37" w:rsidRPr="00816484" w:rsidRDefault="00F17B37" w:rsidP="00BB19A0">
      <w:pPr>
        <w:pStyle w:val="Notedebasdepage"/>
        <w:spacing w:before="0" w:beforeAutospacing="0" w:after="0" w:afterAutospacing="0"/>
        <w:rPr>
          <w:lang w:val="en-US"/>
        </w:rPr>
      </w:pPr>
      <w:r>
        <w:rPr>
          <w:rStyle w:val="Appelnotedebasdep"/>
        </w:rPr>
        <w:footnoteRef/>
      </w:r>
      <w:r w:rsidRPr="00816484">
        <w:rPr>
          <w:lang w:val="en-US"/>
        </w:rPr>
        <w:t xml:space="preserve"> P. </w:t>
      </w:r>
      <w:proofErr w:type="spellStart"/>
      <w:r w:rsidRPr="00816484">
        <w:rPr>
          <w:lang w:val="en-US"/>
        </w:rPr>
        <w:t>Kampmann</w:t>
      </w:r>
      <w:proofErr w:type="spellEnd"/>
      <w:r w:rsidRPr="00816484">
        <w:rPr>
          <w:lang w:val="en-US"/>
        </w:rPr>
        <w:t xml:space="preserve">, J. </w:t>
      </w:r>
      <w:proofErr w:type="spellStart"/>
      <w:r w:rsidRPr="00816484">
        <w:rPr>
          <w:lang w:val="en-US"/>
        </w:rPr>
        <w:t>Lemburg</w:t>
      </w:r>
      <w:proofErr w:type="spellEnd"/>
      <w:r w:rsidRPr="00816484">
        <w:rPr>
          <w:lang w:val="en-US"/>
        </w:rPr>
        <w:t xml:space="preserve">, H. </w:t>
      </w:r>
      <w:proofErr w:type="spellStart"/>
      <w:r w:rsidRPr="00816484">
        <w:rPr>
          <w:lang w:val="en-US"/>
        </w:rPr>
        <w:t>Hanff</w:t>
      </w:r>
      <w:proofErr w:type="spellEnd"/>
      <w:r w:rsidRPr="00816484">
        <w:rPr>
          <w:lang w:val="en-US"/>
        </w:rPr>
        <w:t xml:space="preserve"> and F. Kirchner, "Hybrid pressure-tolerant electronics," 2012 Oceans, Hampton Roads, VA, USA, 2012, pp. 1-5, </w:t>
      </w:r>
      <w:proofErr w:type="spellStart"/>
      <w:r w:rsidRPr="00816484">
        <w:rPr>
          <w:lang w:val="en-US"/>
        </w:rPr>
        <w:t>doi</w:t>
      </w:r>
      <w:proofErr w:type="spellEnd"/>
      <w:r w:rsidRPr="00816484">
        <w:rPr>
          <w:lang w:val="en-US"/>
        </w:rPr>
        <w:t>: 10.1109/OCEANS.2012.6404828.</w:t>
      </w:r>
    </w:p>
  </w:footnote>
  <w:footnote w:id="9">
    <w:p w14:paraId="763E5AB6" w14:textId="77777777" w:rsidR="00F17B37" w:rsidRPr="00D52D83" w:rsidRDefault="00F17B37" w:rsidP="00BB19A0">
      <w:pPr>
        <w:pStyle w:val="Notedebasdepage"/>
        <w:spacing w:before="0" w:beforeAutospacing="0" w:after="0" w:afterAutospacing="0"/>
        <w:rPr>
          <w:lang w:val="en-US"/>
        </w:rPr>
      </w:pPr>
      <w:r>
        <w:rPr>
          <w:rStyle w:val="Appelnotedebasdep"/>
        </w:rPr>
        <w:footnoteRef/>
      </w:r>
      <w:r w:rsidRPr="00F81EDE">
        <w:rPr>
          <w:lang w:val="en-US"/>
        </w:rPr>
        <w:t xml:space="preserve"> Li, Yi, et al. "Soft, pressure-tolerant, flexible electronic sensors for sensing under harsh environments." ACS sensors 7.8 (2022): 2400-2409.</w:t>
      </w:r>
    </w:p>
  </w:footnote>
  <w:footnote w:id="10">
    <w:p w14:paraId="512AEB6E" w14:textId="77777777" w:rsidR="00F17B37" w:rsidRPr="00A64B40" w:rsidRDefault="00F17B37" w:rsidP="00BB19A0">
      <w:pPr>
        <w:pStyle w:val="Notedebasdepage"/>
        <w:spacing w:before="0" w:beforeAutospacing="0" w:after="0" w:afterAutospacing="0"/>
        <w:rPr>
          <w:lang w:val="en-US"/>
        </w:rPr>
      </w:pPr>
      <w:r>
        <w:rPr>
          <w:rStyle w:val="Appelnotedebasdep"/>
        </w:rPr>
        <w:footnoteRef/>
      </w:r>
      <w:r w:rsidRPr="00F81EDE">
        <w:rPr>
          <w:lang w:val="en-US"/>
        </w:rPr>
        <w:t xml:space="preserve"> Brink, Gunnar, and Gerhard </w:t>
      </w:r>
      <w:proofErr w:type="spellStart"/>
      <w:r w:rsidRPr="00F81EDE">
        <w:rPr>
          <w:lang w:val="en-US"/>
        </w:rPr>
        <w:t>Körner</w:t>
      </w:r>
      <w:proofErr w:type="spellEnd"/>
      <w:r w:rsidRPr="00F81EDE">
        <w:rPr>
          <w:lang w:val="en-US"/>
        </w:rPr>
        <w:t>. "Pressure-tolerant and pressure-neutral systems for AUV." 2020. 285-299.</w:t>
      </w:r>
    </w:p>
  </w:footnote>
  <w:footnote w:id="11">
    <w:p w14:paraId="7696C9C7" w14:textId="77777777" w:rsidR="00F17B37" w:rsidRPr="00D52D83" w:rsidRDefault="00F17B37" w:rsidP="00BB19A0">
      <w:pPr>
        <w:pStyle w:val="Notedebasdepage"/>
        <w:spacing w:before="0" w:beforeAutospacing="0" w:after="0" w:afterAutospacing="0"/>
        <w:rPr>
          <w:lang w:val="en-US"/>
        </w:rPr>
      </w:pPr>
      <w:r>
        <w:rPr>
          <w:rStyle w:val="Appelnotedebasdep"/>
        </w:rPr>
        <w:footnoteRef/>
      </w:r>
      <w:r w:rsidRPr="00F81EDE">
        <w:rPr>
          <w:lang w:val="en-US"/>
        </w:rPr>
        <w:t xml:space="preserve"> </w:t>
      </w:r>
      <w:proofErr w:type="spellStart"/>
      <w:r w:rsidRPr="00F81EDE">
        <w:rPr>
          <w:lang w:val="en-US"/>
        </w:rPr>
        <w:t>Jinjun</w:t>
      </w:r>
      <w:proofErr w:type="spellEnd"/>
      <w:r w:rsidRPr="00F81EDE">
        <w:rPr>
          <w:lang w:val="en-US"/>
        </w:rPr>
        <w:t>, Jia, et al. "The structure design and pressure-resisting performance prediction about the power drive device of autonomous underwater vehicles." 2021 3rd International Conference on Artificial Intelligence and Advanced Manufacture (AIAM). IEEE, 2021.</w:t>
      </w:r>
    </w:p>
  </w:footnote>
  <w:footnote w:id="12">
    <w:p w14:paraId="11C7C9F0" w14:textId="77777777" w:rsidR="00F17B37" w:rsidRPr="00B8227F" w:rsidRDefault="00F17B37" w:rsidP="00BB19A0">
      <w:pPr>
        <w:pStyle w:val="Notedebasdepage"/>
        <w:rPr>
          <w:lang w:val="en-US"/>
        </w:rPr>
      </w:pPr>
      <w:r>
        <w:rPr>
          <w:rStyle w:val="Appelnotedebasdep"/>
        </w:rPr>
        <w:footnoteRef/>
      </w:r>
      <w:r w:rsidRPr="00F81EDE">
        <w:rPr>
          <w:lang w:val="en-US"/>
        </w:rPr>
        <w:t xml:space="preserve"> Wang, Hao, et al. "Design and friction loss study of full-ocean depth oil-filled direct current motor." Journal of Zhejiang University-SCIENCE A 23.8 (2022): 587-598.</w:t>
      </w:r>
    </w:p>
  </w:footnote>
  <w:footnote w:id="13">
    <w:p w14:paraId="2C7CF37F" w14:textId="77777777" w:rsidR="00FA3505" w:rsidRPr="0098574E" w:rsidRDefault="00FA3505" w:rsidP="00FA3505">
      <w:pPr>
        <w:pStyle w:val="Notedebasdepage"/>
        <w:spacing w:before="0" w:beforeAutospacing="0" w:after="0" w:afterAutospacing="0"/>
        <w:rPr>
          <w:lang w:val="en-US"/>
        </w:rPr>
      </w:pPr>
      <w:r>
        <w:rPr>
          <w:rStyle w:val="Appelnotedebasdep"/>
        </w:rPr>
        <w:footnoteRef/>
      </w:r>
      <w:r w:rsidRPr="004F5380">
        <w:rPr>
          <w:lang w:val="en-US"/>
        </w:rPr>
        <w:t xml:space="preserve"> </w:t>
      </w:r>
      <w:proofErr w:type="spellStart"/>
      <w:r w:rsidRPr="001D3B08">
        <w:rPr>
          <w:lang w:val="en-US"/>
        </w:rPr>
        <w:t>Chulliat</w:t>
      </w:r>
      <w:proofErr w:type="spellEnd"/>
      <w:r w:rsidRPr="001D3B08">
        <w:rPr>
          <w:lang w:val="en-US"/>
        </w:rPr>
        <w:t>, A. et al. (2020). The US/UK World Magnetic Model for 2020-</w:t>
      </w:r>
      <w:proofErr w:type="gramStart"/>
      <w:r w:rsidRPr="001D3B08">
        <w:rPr>
          <w:lang w:val="en-US"/>
        </w:rPr>
        <w:t>2025 :</w:t>
      </w:r>
      <w:proofErr w:type="gramEnd"/>
      <w:r w:rsidRPr="001D3B08">
        <w:rPr>
          <w:lang w:val="en-US"/>
        </w:rPr>
        <w:t xml:space="preserve"> Technical Report. https://doi.org/10.25923/ytk1-yx35</w:t>
      </w:r>
    </w:p>
  </w:footnote>
  <w:footnote w:id="14">
    <w:p w14:paraId="50961D70" w14:textId="77777777" w:rsidR="00FA3505" w:rsidRPr="00EB1920" w:rsidRDefault="00FA3505" w:rsidP="00FA3505">
      <w:pPr>
        <w:pStyle w:val="Notedebasdepage"/>
        <w:spacing w:before="0" w:beforeAutospacing="0" w:after="0" w:afterAutospacing="0"/>
        <w:rPr>
          <w:lang w:val="en-US"/>
        </w:rPr>
      </w:pPr>
      <w:r w:rsidRPr="00EB1920">
        <w:rPr>
          <w:rStyle w:val="Appelnotedebasdep"/>
        </w:rPr>
        <w:footnoteRef/>
      </w:r>
      <w:r w:rsidRPr="00EB1920">
        <w:t xml:space="preserve"> </w:t>
      </w:r>
      <w:r w:rsidRPr="00EB1920">
        <w:rPr>
          <w:color w:val="222222"/>
          <w:shd w:val="clear" w:color="auto" w:fill="FFFFFF"/>
        </w:rPr>
        <w:t xml:space="preserve">Cao, G., Xu, X., &amp; Xu, D. (2020). </w:t>
      </w:r>
      <w:r w:rsidRPr="00EB1920">
        <w:rPr>
          <w:color w:val="222222"/>
          <w:shd w:val="clear" w:color="auto" w:fill="FFFFFF"/>
          <w:lang w:val="en-US"/>
        </w:rPr>
        <w:t>Real-Time Calibration of Magnetometers Using the RLS/ML Algorithm. </w:t>
      </w:r>
      <w:r w:rsidRPr="00EB1920">
        <w:rPr>
          <w:rStyle w:val="Accentuation"/>
          <w:color w:val="222222"/>
          <w:shd w:val="clear" w:color="auto" w:fill="FFFFFF"/>
          <w:lang w:val="en-US"/>
        </w:rPr>
        <w:t>Sensors</w:t>
      </w:r>
      <w:r w:rsidRPr="00EB1920">
        <w:rPr>
          <w:color w:val="222222"/>
          <w:shd w:val="clear" w:color="auto" w:fill="FFFFFF"/>
          <w:lang w:val="en-US"/>
        </w:rPr>
        <w:t>, </w:t>
      </w:r>
      <w:r w:rsidRPr="00EB1920">
        <w:rPr>
          <w:rStyle w:val="Accentuation"/>
          <w:color w:val="222222"/>
          <w:shd w:val="clear" w:color="auto" w:fill="FFFFFF"/>
          <w:lang w:val="en-US"/>
        </w:rPr>
        <w:t>20</w:t>
      </w:r>
      <w:r w:rsidRPr="00EB1920">
        <w:rPr>
          <w:color w:val="222222"/>
          <w:shd w:val="clear" w:color="auto" w:fill="FFFFFF"/>
          <w:lang w:val="en-US"/>
        </w:rPr>
        <w:t>(2), 535. https://doi.org/10.3390/s20020535</w:t>
      </w:r>
    </w:p>
  </w:footnote>
  <w:footnote w:id="15">
    <w:p w14:paraId="29F42469" w14:textId="77777777" w:rsidR="00FA3505" w:rsidRPr="00EB1920" w:rsidRDefault="00FA3505" w:rsidP="00FA3505">
      <w:pPr>
        <w:pStyle w:val="Notedebasdepage"/>
        <w:spacing w:before="0" w:beforeAutospacing="0" w:after="0" w:afterAutospacing="0"/>
        <w:rPr>
          <w:lang w:val="en-US"/>
        </w:rPr>
      </w:pPr>
      <w:r w:rsidRPr="00EB1920">
        <w:rPr>
          <w:rStyle w:val="Appelnotedebasdep"/>
        </w:rPr>
        <w:footnoteRef/>
      </w:r>
      <w:r w:rsidRPr="00EB1920">
        <w:rPr>
          <w:lang w:val="en-US"/>
        </w:rPr>
        <w:t xml:space="preserve"> </w:t>
      </w:r>
      <w:r w:rsidRPr="00EB1920">
        <w:rPr>
          <w:color w:val="222222"/>
          <w:shd w:val="clear" w:color="auto" w:fill="FFFFFF"/>
          <w:lang w:val="en-US"/>
        </w:rPr>
        <w:t>Li, S., Cheng, D., Gao, Q., Wang, Y., Yue, L., Wang, M., &amp; Zhao, J. (2020). An Improved Calibration Method for the Misalignment Error of a Triaxial Magnetometer and Inertial Navigation System in a Three-Component Magnetic Survey System. </w:t>
      </w:r>
      <w:r w:rsidRPr="00EB1920">
        <w:rPr>
          <w:rStyle w:val="Accentuation"/>
          <w:color w:val="222222"/>
          <w:shd w:val="clear" w:color="auto" w:fill="FFFFFF"/>
          <w:lang w:val="en-US"/>
        </w:rPr>
        <w:t>Applied Sciences</w:t>
      </w:r>
      <w:r w:rsidRPr="00EB1920">
        <w:rPr>
          <w:color w:val="222222"/>
          <w:shd w:val="clear" w:color="auto" w:fill="FFFFFF"/>
          <w:lang w:val="en-US"/>
        </w:rPr>
        <w:t>, </w:t>
      </w:r>
      <w:r w:rsidRPr="00EB1920">
        <w:rPr>
          <w:rStyle w:val="Accentuation"/>
          <w:color w:val="222222"/>
          <w:shd w:val="clear" w:color="auto" w:fill="FFFFFF"/>
          <w:lang w:val="en-US"/>
        </w:rPr>
        <w:t>10</w:t>
      </w:r>
      <w:r w:rsidRPr="00EB1920">
        <w:rPr>
          <w:color w:val="222222"/>
          <w:shd w:val="clear" w:color="auto" w:fill="FFFFFF"/>
          <w:lang w:val="en-US"/>
        </w:rPr>
        <w:t>(19), 6707. https://doi.org/10.3390/app10196707</w:t>
      </w:r>
    </w:p>
  </w:footnote>
  <w:footnote w:id="16">
    <w:p w14:paraId="16259801" w14:textId="77777777" w:rsidR="00FA3505" w:rsidRPr="00EB1920" w:rsidRDefault="00FA3505" w:rsidP="00FA3505">
      <w:pPr>
        <w:pStyle w:val="Notedebasdepage"/>
        <w:spacing w:before="0" w:beforeAutospacing="0" w:after="0" w:afterAutospacing="0"/>
        <w:rPr>
          <w:lang w:val="en-US"/>
        </w:rPr>
      </w:pPr>
      <w:r w:rsidRPr="00EB1920">
        <w:rPr>
          <w:rStyle w:val="Appelnotedebasdep"/>
        </w:rPr>
        <w:footnoteRef/>
      </w:r>
      <w:r w:rsidRPr="00EB1920">
        <w:rPr>
          <w:lang w:val="en-US"/>
        </w:rPr>
        <w:t xml:space="preserve"> </w:t>
      </w:r>
      <w:r w:rsidRPr="00EB1920">
        <w:rPr>
          <w:color w:val="222222"/>
          <w:shd w:val="clear" w:color="auto" w:fill="FFFFFF"/>
          <w:lang w:val="en-US"/>
        </w:rPr>
        <w:t>Farahan, S. B., Machado, J. J. M., de Almeida, F. G., &amp; Tavares, J. M. R. S. (2022). 9-DOF IMU-Based Attitude and Heading Estimation Using an Extended Kalman Filter with Bias Consideration. </w:t>
      </w:r>
      <w:r w:rsidRPr="00EB1920">
        <w:rPr>
          <w:rStyle w:val="Accentuation"/>
          <w:color w:val="222222"/>
          <w:shd w:val="clear" w:color="auto" w:fill="FFFFFF"/>
          <w:lang w:val="en-US"/>
        </w:rPr>
        <w:t>Sensors</w:t>
      </w:r>
      <w:r w:rsidRPr="00EB1920">
        <w:rPr>
          <w:color w:val="222222"/>
          <w:shd w:val="clear" w:color="auto" w:fill="FFFFFF"/>
          <w:lang w:val="en-US"/>
        </w:rPr>
        <w:t>, </w:t>
      </w:r>
      <w:r w:rsidRPr="00EB1920">
        <w:rPr>
          <w:rStyle w:val="Accentuation"/>
          <w:color w:val="222222"/>
          <w:shd w:val="clear" w:color="auto" w:fill="FFFFFF"/>
          <w:lang w:val="en-US"/>
        </w:rPr>
        <w:t>22</w:t>
      </w:r>
      <w:r w:rsidRPr="00EB1920">
        <w:rPr>
          <w:color w:val="222222"/>
          <w:shd w:val="clear" w:color="auto" w:fill="FFFFFF"/>
          <w:lang w:val="en-US"/>
        </w:rPr>
        <w:t>(9), 3416. https://doi.org/10.3390/s22093416</w:t>
      </w:r>
    </w:p>
  </w:footnote>
  <w:footnote w:id="17">
    <w:p w14:paraId="3B451942" w14:textId="77777777" w:rsidR="00FA3505" w:rsidRPr="00EB1920" w:rsidRDefault="00FA3505" w:rsidP="00FA3505">
      <w:pPr>
        <w:pStyle w:val="Notedebasdepage"/>
        <w:spacing w:before="0" w:beforeAutospacing="0" w:after="0" w:afterAutospacing="0"/>
        <w:rPr>
          <w:lang w:val="en-US"/>
        </w:rPr>
      </w:pPr>
      <w:r w:rsidRPr="00EB1920">
        <w:rPr>
          <w:rStyle w:val="Appelnotedebasdep"/>
        </w:rPr>
        <w:footnoteRef/>
      </w:r>
      <w:r w:rsidRPr="00EB1920">
        <w:rPr>
          <w:lang w:val="en-US"/>
        </w:rPr>
        <w:t xml:space="preserve"> </w:t>
      </w:r>
      <w:r w:rsidRPr="00EB1920">
        <w:rPr>
          <w:color w:val="222222"/>
          <w:shd w:val="clear" w:color="auto" w:fill="FFFFFF"/>
          <w:lang w:val="en-US"/>
        </w:rPr>
        <w:t>Bo, F., Li, J., Wang, W., &amp; Zhou, K. (2023). Robust Attitude and Heading Estimation under Dynamic Motion and Magnetic Disturbance. </w:t>
      </w:r>
      <w:r w:rsidRPr="00EB1920">
        <w:rPr>
          <w:rStyle w:val="Accentuation"/>
          <w:color w:val="222222"/>
          <w:shd w:val="clear" w:color="auto" w:fill="FFFFFF"/>
          <w:lang w:val="en-US"/>
        </w:rPr>
        <w:t>Micromachines</w:t>
      </w:r>
      <w:r w:rsidRPr="00EB1920">
        <w:rPr>
          <w:color w:val="222222"/>
          <w:shd w:val="clear" w:color="auto" w:fill="FFFFFF"/>
          <w:lang w:val="en-US"/>
        </w:rPr>
        <w:t>, </w:t>
      </w:r>
      <w:r w:rsidRPr="00EB1920">
        <w:rPr>
          <w:rStyle w:val="Accentuation"/>
          <w:color w:val="222222"/>
          <w:shd w:val="clear" w:color="auto" w:fill="FFFFFF"/>
          <w:lang w:val="en-US"/>
        </w:rPr>
        <w:t>14</w:t>
      </w:r>
      <w:r w:rsidRPr="00EB1920">
        <w:rPr>
          <w:color w:val="222222"/>
          <w:shd w:val="clear" w:color="auto" w:fill="FFFFFF"/>
          <w:lang w:val="en-US"/>
        </w:rPr>
        <w:t>(5), 1070. https://doi.org/10.3390/mi14051070</w:t>
      </w:r>
    </w:p>
  </w:footnote>
  <w:footnote w:id="18">
    <w:p w14:paraId="64E6C9F9" w14:textId="451E1591" w:rsidR="00FA3505" w:rsidRPr="00C94E99" w:rsidRDefault="00FA3505" w:rsidP="00FA3505">
      <w:pPr>
        <w:pStyle w:val="Notedebasdepage"/>
        <w:spacing w:before="0" w:beforeAutospacing="0" w:after="0" w:afterAutospacing="0"/>
        <w:rPr>
          <w:lang w:val="en-US"/>
        </w:rPr>
      </w:pPr>
      <w:r w:rsidRPr="00C94E99">
        <w:rPr>
          <w:rStyle w:val="Appelnotedebasdep"/>
        </w:rPr>
        <w:footnoteRef/>
      </w:r>
      <w:r w:rsidRPr="00C94E99">
        <w:rPr>
          <w:lang w:val="en-US"/>
        </w:rPr>
        <w:t xml:space="preserve"> </w:t>
      </w:r>
      <w:r w:rsidRPr="00C94E99">
        <w:rPr>
          <w:color w:val="222222"/>
          <w:shd w:val="clear" w:color="auto" w:fill="FFFFFF"/>
          <w:lang w:val="en-US"/>
        </w:rPr>
        <w:t xml:space="preserve">Choi D, Lee S, Hong J, Park SH, Park S, Cha W, Kim J, Gu B, Park PG, </w:t>
      </w:r>
      <w:proofErr w:type="spellStart"/>
      <w:r w:rsidRPr="00C94E99">
        <w:rPr>
          <w:color w:val="222222"/>
          <w:shd w:val="clear" w:color="auto" w:fill="FFFFFF"/>
          <w:lang w:val="en-US"/>
        </w:rPr>
        <w:t>Joo</w:t>
      </w:r>
      <w:proofErr w:type="spellEnd"/>
      <w:r w:rsidRPr="00C94E99">
        <w:rPr>
          <w:color w:val="222222"/>
          <w:shd w:val="clear" w:color="auto" w:fill="FFFFFF"/>
          <w:lang w:val="en-US"/>
        </w:rPr>
        <w:t xml:space="preserve"> S, Choi CR, Lee DY, Ryu K. Ground </w:t>
      </w:r>
      <w:r w:rsidR="0009134E">
        <w:rPr>
          <w:color w:val="222222"/>
          <w:shd w:val="clear" w:color="auto" w:fill="FFFFFF"/>
          <w:lang w:val="en-US"/>
        </w:rPr>
        <w:t xml:space="preserve">(2024) </w:t>
      </w:r>
      <w:r w:rsidRPr="00C94E99">
        <w:rPr>
          <w:color w:val="222222"/>
          <w:shd w:val="clear" w:color="auto" w:fill="FFFFFF"/>
          <w:lang w:val="en-US"/>
        </w:rPr>
        <w:t xml:space="preserve">Calibration with Orthogonality Correction for Tri-Axis Fluxgate Magnetometer for CAS500-3. </w:t>
      </w:r>
      <w:proofErr w:type="spellStart"/>
      <w:r w:rsidRPr="00C94E99">
        <w:rPr>
          <w:color w:val="222222"/>
          <w:shd w:val="clear" w:color="auto" w:fill="FFFFFF"/>
          <w:lang w:val="en-US"/>
        </w:rPr>
        <w:t>J.Astron</w:t>
      </w:r>
      <w:proofErr w:type="spellEnd"/>
      <w:r w:rsidRPr="00C94E99">
        <w:rPr>
          <w:color w:val="222222"/>
          <w:shd w:val="clear" w:color="auto" w:fill="FFFFFF"/>
          <w:lang w:val="en-US"/>
        </w:rPr>
        <w:t>. Space Sci.2024;41(4):271-281.</w:t>
      </w:r>
      <w:r w:rsidRPr="00C94E99">
        <w:rPr>
          <w:color w:val="222222"/>
          <w:lang w:val="en-US"/>
        </w:rPr>
        <w:t xml:space="preserve"> </w:t>
      </w:r>
      <w:r w:rsidRPr="00C94E99">
        <w:rPr>
          <w:color w:val="222222"/>
          <w:shd w:val="clear" w:color="auto" w:fill="FFFFFF"/>
          <w:lang w:val="en-US"/>
        </w:rPr>
        <w:t>https://doi.org/10.5140/JASS.2024.41.4.271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4940" w14:textId="77777777" w:rsidR="00F17B37" w:rsidRDefault="00F17B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5CDF"/>
    <w:multiLevelType w:val="hybridMultilevel"/>
    <w:tmpl w:val="1A6AC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6440F"/>
    <w:multiLevelType w:val="hybridMultilevel"/>
    <w:tmpl w:val="F5681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4320BD"/>
    <w:multiLevelType w:val="hybridMultilevel"/>
    <w:tmpl w:val="27844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D6747"/>
    <w:multiLevelType w:val="hybridMultilevel"/>
    <w:tmpl w:val="DB142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3F22FB"/>
    <w:multiLevelType w:val="hybridMultilevel"/>
    <w:tmpl w:val="3DA68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D03B52"/>
    <w:multiLevelType w:val="hybridMultilevel"/>
    <w:tmpl w:val="4D4832BC"/>
    <w:lvl w:ilvl="0" w:tplc="8BC20D76">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721061"/>
    <w:multiLevelType w:val="multilevel"/>
    <w:tmpl w:val="BF1E92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8532181"/>
    <w:multiLevelType w:val="multilevel"/>
    <w:tmpl w:val="82A42D0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8F92522"/>
    <w:multiLevelType w:val="hybridMultilevel"/>
    <w:tmpl w:val="F5601796"/>
    <w:lvl w:ilvl="0" w:tplc="5FCCB2F6">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1B69E5"/>
    <w:multiLevelType w:val="hybridMultilevel"/>
    <w:tmpl w:val="6A2A6C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1BC1960"/>
    <w:multiLevelType w:val="multilevel"/>
    <w:tmpl w:val="9956E9AC"/>
    <w:styleLink w:val="Listeactuelle1"/>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434B5E20"/>
    <w:multiLevelType w:val="hybridMultilevel"/>
    <w:tmpl w:val="27CC1E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900F86"/>
    <w:multiLevelType w:val="multilevel"/>
    <w:tmpl w:val="73D2C74E"/>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4" w15:restartNumberingAfterBreak="0">
    <w:nsid w:val="5BAD4F32"/>
    <w:multiLevelType w:val="hybridMultilevel"/>
    <w:tmpl w:val="188E7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F2284A"/>
    <w:multiLevelType w:val="multilevel"/>
    <w:tmpl w:val="AA1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87A7D"/>
    <w:multiLevelType w:val="hybridMultilevel"/>
    <w:tmpl w:val="B8FC1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8561D3"/>
    <w:multiLevelType w:val="hybridMultilevel"/>
    <w:tmpl w:val="D1B21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100063"/>
    <w:multiLevelType w:val="hybridMultilevel"/>
    <w:tmpl w:val="9956E9AC"/>
    <w:lvl w:ilvl="0" w:tplc="7F541EEA">
      <w:start w:val="1"/>
      <w:numFmt w:val="decimal"/>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 w15:restartNumberingAfterBreak="0">
    <w:nsid w:val="6D214946"/>
    <w:multiLevelType w:val="hybridMultilevel"/>
    <w:tmpl w:val="C5F25B3C"/>
    <w:lvl w:ilvl="0" w:tplc="8EFCD0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E9523D9"/>
    <w:multiLevelType w:val="hybridMultilevel"/>
    <w:tmpl w:val="E820C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CF5A29"/>
    <w:multiLevelType w:val="multilevel"/>
    <w:tmpl w:val="27CC1EFA"/>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DF028B"/>
    <w:multiLevelType w:val="multilevel"/>
    <w:tmpl w:val="73D2C74E"/>
    <w:styleLink w:val="Listeactuelle3"/>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3" w15:restartNumberingAfterBreak="0">
    <w:nsid w:val="7A0A1CE2"/>
    <w:multiLevelType w:val="hybridMultilevel"/>
    <w:tmpl w:val="D60ADA4E"/>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2414DA"/>
    <w:multiLevelType w:val="multilevel"/>
    <w:tmpl w:val="54E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E68CE"/>
    <w:multiLevelType w:val="hybridMultilevel"/>
    <w:tmpl w:val="5D12F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91821"/>
    <w:multiLevelType w:val="hybridMultilevel"/>
    <w:tmpl w:val="485A205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4912937">
    <w:abstractNumId w:val="23"/>
  </w:num>
  <w:num w:numId="2" w16cid:durableId="1647126331">
    <w:abstractNumId w:val="16"/>
  </w:num>
  <w:num w:numId="3" w16cid:durableId="294219797">
    <w:abstractNumId w:val="19"/>
    <w:lvlOverride w:ilvl="0">
      <w:startOverride w:val="1"/>
    </w:lvlOverride>
  </w:num>
  <w:num w:numId="4" w16cid:durableId="1008867127">
    <w:abstractNumId w:val="12"/>
  </w:num>
  <w:num w:numId="5" w16cid:durableId="1253851166">
    <w:abstractNumId w:val="18"/>
  </w:num>
  <w:num w:numId="6" w16cid:durableId="1795714372">
    <w:abstractNumId w:val="26"/>
  </w:num>
  <w:num w:numId="7" w16cid:durableId="1320648081">
    <w:abstractNumId w:val="18"/>
    <w:lvlOverride w:ilvl="0">
      <w:startOverride w:val="1"/>
    </w:lvlOverride>
  </w:num>
  <w:num w:numId="8" w16cid:durableId="1517618259">
    <w:abstractNumId w:val="13"/>
  </w:num>
  <w:num w:numId="9" w16cid:durableId="432628933">
    <w:abstractNumId w:val="3"/>
  </w:num>
  <w:num w:numId="10" w16cid:durableId="580602871">
    <w:abstractNumId w:val="19"/>
  </w:num>
  <w:num w:numId="11" w16cid:durableId="1744715757">
    <w:abstractNumId w:val="6"/>
  </w:num>
  <w:num w:numId="12" w16cid:durableId="334889272">
    <w:abstractNumId w:val="25"/>
  </w:num>
  <w:num w:numId="13" w16cid:durableId="1531795247">
    <w:abstractNumId w:val="20"/>
  </w:num>
  <w:num w:numId="14" w16cid:durableId="1545554315">
    <w:abstractNumId w:val="19"/>
    <w:lvlOverride w:ilvl="0">
      <w:startOverride w:val="1"/>
    </w:lvlOverride>
  </w:num>
  <w:num w:numId="15" w16cid:durableId="1217283607">
    <w:abstractNumId w:val="9"/>
  </w:num>
  <w:num w:numId="16" w16cid:durableId="304967733">
    <w:abstractNumId w:val="15"/>
  </w:num>
  <w:num w:numId="17" w16cid:durableId="397048476">
    <w:abstractNumId w:val="0"/>
  </w:num>
  <w:num w:numId="18" w16cid:durableId="1014652947">
    <w:abstractNumId w:val="1"/>
  </w:num>
  <w:num w:numId="19" w16cid:durableId="642345582">
    <w:abstractNumId w:val="14"/>
  </w:num>
  <w:num w:numId="20" w16cid:durableId="1834491889">
    <w:abstractNumId w:val="2"/>
  </w:num>
  <w:num w:numId="21" w16cid:durableId="982850477">
    <w:abstractNumId w:val="17"/>
  </w:num>
  <w:num w:numId="22" w16cid:durableId="1559125325">
    <w:abstractNumId w:val="5"/>
  </w:num>
  <w:num w:numId="23" w16cid:durableId="1180509613">
    <w:abstractNumId w:val="4"/>
  </w:num>
  <w:num w:numId="24" w16cid:durableId="490872790">
    <w:abstractNumId w:val="24"/>
  </w:num>
  <w:num w:numId="25" w16cid:durableId="1781606753">
    <w:abstractNumId w:val="7"/>
  </w:num>
  <w:num w:numId="26" w16cid:durableId="801967843">
    <w:abstractNumId w:val="11"/>
  </w:num>
  <w:num w:numId="27" w16cid:durableId="2082678510">
    <w:abstractNumId w:val="8"/>
  </w:num>
  <w:num w:numId="28" w16cid:durableId="664742479">
    <w:abstractNumId w:val="21"/>
  </w:num>
  <w:num w:numId="29" w16cid:durableId="895431817">
    <w:abstractNumId w:val="22"/>
  </w:num>
  <w:num w:numId="30" w16cid:durableId="183776694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éo Lecuyer">
    <w15:presenceInfo w15:providerId="None" w15:userId="Léo Lecuyer"/>
  </w15:person>
  <w15:person w15:author="Ferrari">
    <w15:presenceInfo w15:providerId="AD" w15:userId="S::sferrari-ext@witekio.com::66229951-f29e-4eef-9a81-4c7457c4d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37"/>
    <w:rsid w:val="000101BF"/>
    <w:rsid w:val="0009134E"/>
    <w:rsid w:val="000B2665"/>
    <w:rsid w:val="000D175F"/>
    <w:rsid w:val="000F4728"/>
    <w:rsid w:val="002C567E"/>
    <w:rsid w:val="002F4240"/>
    <w:rsid w:val="003F5A8A"/>
    <w:rsid w:val="004D3DD7"/>
    <w:rsid w:val="005270B2"/>
    <w:rsid w:val="00565559"/>
    <w:rsid w:val="005C6C4C"/>
    <w:rsid w:val="00602114"/>
    <w:rsid w:val="007D30F7"/>
    <w:rsid w:val="007F27E8"/>
    <w:rsid w:val="0080715E"/>
    <w:rsid w:val="008A2FBD"/>
    <w:rsid w:val="008D0342"/>
    <w:rsid w:val="00995149"/>
    <w:rsid w:val="00BB19A0"/>
    <w:rsid w:val="00C94E99"/>
    <w:rsid w:val="00CB33EC"/>
    <w:rsid w:val="00D1631F"/>
    <w:rsid w:val="00D30FCE"/>
    <w:rsid w:val="00D714B5"/>
    <w:rsid w:val="00E94C98"/>
    <w:rsid w:val="00EB1920"/>
    <w:rsid w:val="00EC44F1"/>
    <w:rsid w:val="00F17B37"/>
    <w:rsid w:val="00F82698"/>
    <w:rsid w:val="00FA3505"/>
    <w:rsid w:val="00FC5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CA83"/>
  <w15:chartTrackingRefBased/>
  <w15:docId w15:val="{2864557C-B8E5-2D44-BA2D-65FF8524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37"/>
    <w:pPr>
      <w:spacing w:before="100" w:beforeAutospacing="1" w:after="100" w:afterAutospacing="1"/>
      <w:jc w:val="both"/>
    </w:pPr>
    <w:rPr>
      <w:rFonts w:ascii="Calibri" w:eastAsia="Times New Roman" w:hAnsi="Calibri" w:cs="Calibri"/>
      <w:kern w:val="0"/>
      <w:sz w:val="22"/>
      <w:szCs w:val="22"/>
      <w:lang w:eastAsia="fr-FR"/>
      <w14:ligatures w14:val="none"/>
    </w:rPr>
  </w:style>
  <w:style w:type="paragraph" w:styleId="Titre1">
    <w:name w:val="heading 1"/>
    <w:basedOn w:val="Normal"/>
    <w:next w:val="Normal"/>
    <w:link w:val="Titre1Car"/>
    <w:uiPriority w:val="9"/>
    <w:qFormat/>
    <w:rsid w:val="00F17B37"/>
    <w:pPr>
      <w:numPr>
        <w:numId w:val="27"/>
      </w:numPr>
      <w:jc w:val="left"/>
      <w:outlineLvl w:val="0"/>
    </w:pPr>
    <w:rPr>
      <w:b/>
      <w:bCs/>
      <w:sz w:val="32"/>
      <w:szCs w:val="32"/>
    </w:rPr>
  </w:style>
  <w:style w:type="paragraph" w:styleId="Titre2">
    <w:name w:val="heading 2"/>
    <w:basedOn w:val="Normal"/>
    <w:next w:val="Normal"/>
    <w:link w:val="Titre2Car"/>
    <w:uiPriority w:val="9"/>
    <w:unhideWhenUsed/>
    <w:qFormat/>
    <w:rsid w:val="00CB33EC"/>
    <w:pPr>
      <w:keepNext/>
      <w:keepLines/>
      <w:numPr>
        <w:ilvl w:val="1"/>
        <w:numId w:val="27"/>
      </w:numPr>
      <w:spacing w:before="40" w:after="0"/>
      <w:outlineLvl w:val="1"/>
    </w:pPr>
    <w:rPr>
      <w:rFonts w:eastAsiaTheme="majorEastAsia" w:cstheme="majorBidi"/>
      <w:b/>
      <w:color w:val="000000" w:themeColor="text1"/>
      <w:sz w:val="26"/>
      <w:szCs w:val="26"/>
    </w:rPr>
  </w:style>
  <w:style w:type="paragraph" w:styleId="Titre3">
    <w:name w:val="heading 3"/>
    <w:basedOn w:val="Normal"/>
    <w:next w:val="Normal"/>
    <w:link w:val="Titre3Car"/>
    <w:uiPriority w:val="9"/>
    <w:unhideWhenUsed/>
    <w:qFormat/>
    <w:rsid w:val="00F17B37"/>
    <w:pPr>
      <w:numPr>
        <w:ilvl w:val="2"/>
        <w:numId w:val="27"/>
      </w:numPr>
      <w:jc w:val="left"/>
      <w:outlineLvl w:val="2"/>
    </w:pPr>
    <w:rPr>
      <w:b/>
      <w:bCs/>
      <w:sz w:val="24"/>
      <w:szCs w:val="24"/>
    </w:rPr>
  </w:style>
  <w:style w:type="paragraph" w:styleId="Titre4">
    <w:name w:val="heading 4"/>
    <w:basedOn w:val="Paragraphedeliste"/>
    <w:next w:val="Normal"/>
    <w:link w:val="Titre4Car"/>
    <w:uiPriority w:val="9"/>
    <w:unhideWhenUsed/>
    <w:qFormat/>
    <w:rsid w:val="00F17B37"/>
    <w:pPr>
      <w:numPr>
        <w:ilvl w:val="3"/>
        <w:numId w:val="27"/>
      </w:numPr>
      <w:tabs>
        <w:tab w:val="num" w:pos="360"/>
      </w:tabs>
      <w:outlineLvl w:val="3"/>
    </w:pPr>
    <w:rPr>
      <w:b/>
      <w:bCs/>
    </w:rPr>
  </w:style>
  <w:style w:type="paragraph" w:styleId="Titre5">
    <w:name w:val="heading 5"/>
    <w:basedOn w:val="Paragraphedeliste"/>
    <w:next w:val="Normal"/>
    <w:link w:val="Titre5Car"/>
    <w:uiPriority w:val="9"/>
    <w:unhideWhenUsed/>
    <w:qFormat/>
    <w:rsid w:val="00CB33EC"/>
    <w:pPr>
      <w:spacing w:before="120" w:beforeAutospacing="0" w:after="120" w:afterAutospacing="0"/>
      <w:ind w:left="0"/>
      <w:contextualSpacing w:val="0"/>
      <w:outlineLvl w:val="4"/>
    </w:pPr>
    <w:rPr>
      <w:b/>
      <w:bCs/>
    </w:rPr>
  </w:style>
  <w:style w:type="paragraph" w:styleId="Titre6">
    <w:name w:val="heading 6"/>
    <w:basedOn w:val="Normal"/>
    <w:next w:val="Normal"/>
    <w:link w:val="Titre6Car"/>
    <w:uiPriority w:val="9"/>
    <w:unhideWhenUsed/>
    <w:qFormat/>
    <w:rsid w:val="00CB33EC"/>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CB33EC"/>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B33E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B33E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7B37"/>
    <w:rPr>
      <w:rFonts w:ascii="Calibri" w:eastAsia="Times New Roman" w:hAnsi="Calibri" w:cs="Calibri"/>
      <w:b/>
      <w:bCs/>
      <w:kern w:val="0"/>
      <w:sz w:val="32"/>
      <w:szCs w:val="32"/>
      <w:lang w:eastAsia="fr-FR"/>
      <w14:ligatures w14:val="none"/>
    </w:rPr>
  </w:style>
  <w:style w:type="character" w:customStyle="1" w:styleId="Titre3Car">
    <w:name w:val="Titre 3 Car"/>
    <w:basedOn w:val="Policepardfaut"/>
    <w:link w:val="Titre3"/>
    <w:uiPriority w:val="9"/>
    <w:rsid w:val="00F17B37"/>
    <w:rPr>
      <w:rFonts w:ascii="Calibri" w:eastAsia="Times New Roman" w:hAnsi="Calibri" w:cs="Calibri"/>
      <w:b/>
      <w:bCs/>
      <w:kern w:val="0"/>
      <w:lang w:eastAsia="fr-FR"/>
      <w14:ligatures w14:val="none"/>
    </w:rPr>
  </w:style>
  <w:style w:type="character" w:customStyle="1" w:styleId="Titre4Car">
    <w:name w:val="Titre 4 Car"/>
    <w:basedOn w:val="Policepardfaut"/>
    <w:link w:val="Titre4"/>
    <w:uiPriority w:val="9"/>
    <w:rsid w:val="00F17B37"/>
    <w:rPr>
      <w:rFonts w:ascii="Calibri" w:eastAsia="Times New Roman" w:hAnsi="Calibri" w:cs="Calibri"/>
      <w:b/>
      <w:bCs/>
      <w:kern w:val="0"/>
      <w:sz w:val="22"/>
      <w:szCs w:val="22"/>
      <w:lang w:eastAsia="fr-FR"/>
      <w14:ligatures w14:val="none"/>
    </w:rPr>
  </w:style>
  <w:style w:type="character" w:customStyle="1" w:styleId="Titre5Car">
    <w:name w:val="Titre 5 Car"/>
    <w:basedOn w:val="Policepardfaut"/>
    <w:link w:val="Titre5"/>
    <w:uiPriority w:val="9"/>
    <w:rsid w:val="00F17B37"/>
    <w:rPr>
      <w:rFonts w:ascii="Calibri" w:eastAsia="Times New Roman" w:hAnsi="Calibri" w:cs="Calibri"/>
      <w:b/>
      <w:bCs/>
      <w:kern w:val="0"/>
      <w:sz w:val="22"/>
      <w:szCs w:val="22"/>
      <w:lang w:eastAsia="fr-FR"/>
      <w14:ligatures w14:val="none"/>
    </w:rPr>
  </w:style>
  <w:style w:type="character" w:customStyle="1" w:styleId="Titre6Car">
    <w:name w:val="Titre 6 Car"/>
    <w:basedOn w:val="Policepardfaut"/>
    <w:link w:val="Titre6"/>
    <w:uiPriority w:val="9"/>
    <w:rsid w:val="00F17B37"/>
    <w:rPr>
      <w:rFonts w:ascii="Calibri" w:eastAsia="Times New Roman" w:hAnsi="Calibri" w:cs="Calibri"/>
      <w:b/>
      <w:kern w:val="0"/>
      <w:sz w:val="20"/>
      <w:szCs w:val="20"/>
      <w:lang w:eastAsia="fr-FR"/>
      <w14:ligatures w14:val="none"/>
    </w:rPr>
  </w:style>
  <w:style w:type="paragraph" w:styleId="Paragraphedeliste">
    <w:name w:val="List Paragraph"/>
    <w:aliases w:val="Bull - Bullet niveau 1,lp1"/>
    <w:basedOn w:val="Normal"/>
    <w:link w:val="ParagraphedelisteCar"/>
    <w:uiPriority w:val="34"/>
    <w:qFormat/>
    <w:rsid w:val="00F17B37"/>
    <w:pPr>
      <w:ind w:left="720"/>
      <w:contextualSpacing/>
    </w:pPr>
  </w:style>
  <w:style w:type="paragraph" w:styleId="Notedebasdepage">
    <w:name w:val="footnote text"/>
    <w:basedOn w:val="Normal"/>
    <w:link w:val="NotedebasdepageCar"/>
    <w:uiPriority w:val="99"/>
    <w:semiHidden/>
    <w:unhideWhenUsed/>
    <w:rsid w:val="00F17B37"/>
    <w:rPr>
      <w:sz w:val="20"/>
      <w:szCs w:val="20"/>
    </w:rPr>
  </w:style>
  <w:style w:type="character" w:customStyle="1" w:styleId="NotedebasdepageCar">
    <w:name w:val="Note de bas de page Car"/>
    <w:basedOn w:val="Policepardfaut"/>
    <w:link w:val="Notedebasdepage"/>
    <w:uiPriority w:val="99"/>
    <w:semiHidden/>
    <w:rsid w:val="00F17B37"/>
    <w:rPr>
      <w:rFonts w:ascii="Calibri" w:eastAsia="Times New Roman" w:hAnsi="Calibri" w:cs="Calibri"/>
      <w:kern w:val="0"/>
      <w:sz w:val="20"/>
      <w:szCs w:val="20"/>
      <w:lang w:eastAsia="fr-FR"/>
      <w14:ligatures w14:val="none"/>
    </w:rPr>
  </w:style>
  <w:style w:type="character" w:styleId="Appelnotedebasdep">
    <w:name w:val="footnote reference"/>
    <w:basedOn w:val="Policepardfaut"/>
    <w:uiPriority w:val="99"/>
    <w:unhideWhenUsed/>
    <w:rsid w:val="00F17B37"/>
    <w:rPr>
      <w:vertAlign w:val="superscript"/>
    </w:rPr>
  </w:style>
  <w:style w:type="paragraph" w:styleId="Lgende">
    <w:name w:val="caption"/>
    <w:basedOn w:val="Normal"/>
    <w:next w:val="Normal"/>
    <w:uiPriority w:val="35"/>
    <w:unhideWhenUsed/>
    <w:qFormat/>
    <w:rsid w:val="00F17B37"/>
    <w:pPr>
      <w:spacing w:after="200"/>
      <w:jc w:val="center"/>
    </w:pPr>
    <w:rPr>
      <w:i/>
      <w:iCs/>
      <w:color w:val="44546A" w:themeColor="text2"/>
      <w:sz w:val="18"/>
      <w:szCs w:val="18"/>
    </w:rPr>
  </w:style>
  <w:style w:type="paragraph" w:styleId="NormalWeb">
    <w:name w:val="Normal (Web)"/>
    <w:basedOn w:val="Normal"/>
    <w:uiPriority w:val="99"/>
    <w:unhideWhenUsed/>
    <w:rsid w:val="00F17B37"/>
    <w:pPr>
      <w:jc w:val="left"/>
    </w:pPr>
    <w:rPr>
      <w:rFonts w:ascii="Times New Roman" w:hAnsi="Times New Roman" w:cs="Times New Roman"/>
    </w:rPr>
  </w:style>
  <w:style w:type="character" w:styleId="Marquedecommentaire">
    <w:name w:val="annotation reference"/>
    <w:basedOn w:val="Policepardfaut"/>
    <w:uiPriority w:val="99"/>
    <w:semiHidden/>
    <w:unhideWhenUsed/>
    <w:rsid w:val="00F17B37"/>
    <w:rPr>
      <w:sz w:val="16"/>
      <w:szCs w:val="16"/>
    </w:rPr>
  </w:style>
  <w:style w:type="paragraph" w:styleId="Commentaire">
    <w:name w:val="annotation text"/>
    <w:basedOn w:val="Normal"/>
    <w:link w:val="CommentaireCar"/>
    <w:uiPriority w:val="99"/>
    <w:unhideWhenUsed/>
    <w:rsid w:val="00F17B37"/>
    <w:rPr>
      <w:sz w:val="20"/>
      <w:szCs w:val="20"/>
    </w:rPr>
  </w:style>
  <w:style w:type="character" w:customStyle="1" w:styleId="CommentaireCar">
    <w:name w:val="Commentaire Car"/>
    <w:basedOn w:val="Policepardfaut"/>
    <w:link w:val="Commentaire"/>
    <w:uiPriority w:val="99"/>
    <w:rsid w:val="00F17B37"/>
    <w:rPr>
      <w:rFonts w:ascii="Calibri" w:eastAsia="Times New Roman" w:hAnsi="Calibri" w:cs="Calibri"/>
      <w:kern w:val="0"/>
      <w:sz w:val="20"/>
      <w:szCs w:val="20"/>
      <w:lang w:eastAsia="fr-FR"/>
      <w14:ligatures w14:val="none"/>
    </w:rPr>
  </w:style>
  <w:style w:type="paragraph" w:customStyle="1" w:styleId="INNOVATECHnormal">
    <w:name w:val="INNOVATECH normal"/>
    <w:basedOn w:val="Normal"/>
    <w:link w:val="INNOVATECHnormalCar"/>
    <w:qFormat/>
    <w:rsid w:val="00F17B37"/>
    <w:pPr>
      <w:spacing w:before="120" w:beforeAutospacing="0" w:after="120" w:afterAutospacing="0" w:line="276" w:lineRule="auto"/>
    </w:pPr>
    <w:rPr>
      <w:rFonts w:asciiTheme="minorHAnsi" w:eastAsiaTheme="minorEastAsia" w:hAnsiTheme="minorHAnsi" w:cstheme="minorBidi"/>
    </w:rPr>
  </w:style>
  <w:style w:type="character" w:customStyle="1" w:styleId="INNOVATECHnormalCar">
    <w:name w:val="INNOVATECH normal Car"/>
    <w:basedOn w:val="Policepardfaut"/>
    <w:link w:val="INNOVATECHnormal"/>
    <w:rsid w:val="00F17B37"/>
    <w:rPr>
      <w:rFonts w:eastAsiaTheme="minorEastAsia"/>
      <w:kern w:val="0"/>
      <w:sz w:val="22"/>
      <w:szCs w:val="22"/>
      <w:lang w:eastAsia="fr-FR"/>
      <w14:ligatures w14:val="none"/>
    </w:rPr>
  </w:style>
  <w:style w:type="character" w:customStyle="1" w:styleId="ParagraphedelisteCar">
    <w:name w:val="Paragraphe de liste Car"/>
    <w:aliases w:val="Bull - Bullet niveau 1 Car,lp1 Car"/>
    <w:basedOn w:val="Policepardfaut"/>
    <w:link w:val="Paragraphedeliste"/>
    <w:uiPriority w:val="34"/>
    <w:locked/>
    <w:rsid w:val="00F17B37"/>
    <w:rPr>
      <w:rFonts w:ascii="Calibri" w:eastAsia="Times New Roman" w:hAnsi="Calibri" w:cs="Calibri"/>
      <w:kern w:val="0"/>
      <w:sz w:val="22"/>
      <w:szCs w:val="22"/>
      <w:lang w:eastAsia="fr-FR"/>
      <w14:ligatures w14:val="none"/>
    </w:rPr>
  </w:style>
  <w:style w:type="paragraph" w:styleId="En-tte">
    <w:name w:val="header"/>
    <w:basedOn w:val="Normal"/>
    <w:link w:val="En-tteCar"/>
    <w:uiPriority w:val="99"/>
    <w:unhideWhenUsed/>
    <w:rsid w:val="00F17B37"/>
    <w:pPr>
      <w:tabs>
        <w:tab w:val="center" w:pos="4536"/>
        <w:tab w:val="right" w:pos="9072"/>
      </w:tabs>
      <w:spacing w:before="0" w:after="0"/>
    </w:pPr>
  </w:style>
  <w:style w:type="character" w:customStyle="1" w:styleId="En-tteCar">
    <w:name w:val="En-tête Car"/>
    <w:basedOn w:val="Policepardfaut"/>
    <w:link w:val="En-tte"/>
    <w:uiPriority w:val="99"/>
    <w:rsid w:val="00F17B37"/>
    <w:rPr>
      <w:rFonts w:ascii="Calibri" w:eastAsia="Times New Roman" w:hAnsi="Calibri" w:cs="Calibri"/>
      <w:kern w:val="0"/>
      <w:sz w:val="22"/>
      <w:szCs w:val="22"/>
      <w:lang w:eastAsia="fr-FR"/>
      <w14:ligatures w14:val="none"/>
    </w:rPr>
  </w:style>
  <w:style w:type="paragraph" w:styleId="Pieddepage">
    <w:name w:val="footer"/>
    <w:basedOn w:val="Normal"/>
    <w:link w:val="PieddepageCar"/>
    <w:uiPriority w:val="99"/>
    <w:unhideWhenUsed/>
    <w:rsid w:val="00F17B37"/>
    <w:pPr>
      <w:tabs>
        <w:tab w:val="center" w:pos="4536"/>
        <w:tab w:val="right" w:pos="9072"/>
      </w:tabs>
      <w:spacing w:before="0" w:after="0"/>
    </w:pPr>
  </w:style>
  <w:style w:type="character" w:customStyle="1" w:styleId="PieddepageCar">
    <w:name w:val="Pied de page Car"/>
    <w:basedOn w:val="Policepardfaut"/>
    <w:link w:val="Pieddepage"/>
    <w:uiPriority w:val="99"/>
    <w:rsid w:val="00F17B37"/>
    <w:rPr>
      <w:rFonts w:ascii="Calibri" w:eastAsia="Times New Roman" w:hAnsi="Calibri" w:cs="Calibri"/>
      <w:kern w:val="0"/>
      <w:sz w:val="22"/>
      <w:szCs w:val="22"/>
      <w:lang w:eastAsia="fr-FR"/>
      <w14:ligatures w14:val="none"/>
    </w:rPr>
  </w:style>
  <w:style w:type="character" w:styleId="lev">
    <w:name w:val="Strong"/>
    <w:basedOn w:val="Policepardfaut"/>
    <w:uiPriority w:val="22"/>
    <w:qFormat/>
    <w:rsid w:val="00F17B37"/>
    <w:rPr>
      <w:b/>
      <w:bCs/>
    </w:rPr>
  </w:style>
  <w:style w:type="character" w:styleId="Accentuation">
    <w:name w:val="Emphasis"/>
    <w:basedOn w:val="Policepardfaut"/>
    <w:uiPriority w:val="20"/>
    <w:qFormat/>
    <w:rsid w:val="00FA3505"/>
    <w:rPr>
      <w:i/>
      <w:iCs/>
    </w:rPr>
  </w:style>
  <w:style w:type="character" w:styleId="Rfrencelgre">
    <w:name w:val="Subtle Reference"/>
    <w:basedOn w:val="Policepardfaut"/>
    <w:uiPriority w:val="31"/>
    <w:qFormat/>
    <w:rsid w:val="005C6C4C"/>
    <w:rPr>
      <w:smallCaps/>
      <w:color w:val="5A5A5A" w:themeColor="text1" w:themeTint="A5"/>
    </w:rPr>
  </w:style>
  <w:style w:type="paragraph" w:styleId="Objetducommentaire">
    <w:name w:val="annotation subject"/>
    <w:basedOn w:val="Commentaire"/>
    <w:next w:val="Commentaire"/>
    <w:link w:val="ObjetducommentaireCar"/>
    <w:uiPriority w:val="99"/>
    <w:semiHidden/>
    <w:unhideWhenUsed/>
    <w:rsid w:val="005C6C4C"/>
    <w:rPr>
      <w:b/>
      <w:bCs/>
    </w:rPr>
  </w:style>
  <w:style w:type="character" w:customStyle="1" w:styleId="ObjetducommentaireCar">
    <w:name w:val="Objet du commentaire Car"/>
    <w:basedOn w:val="CommentaireCar"/>
    <w:link w:val="Objetducommentaire"/>
    <w:uiPriority w:val="99"/>
    <w:semiHidden/>
    <w:rsid w:val="005C6C4C"/>
    <w:rPr>
      <w:rFonts w:ascii="Calibri" w:eastAsia="Times New Roman" w:hAnsi="Calibri" w:cs="Calibri"/>
      <w:b/>
      <w:bCs/>
      <w:kern w:val="0"/>
      <w:sz w:val="20"/>
      <w:szCs w:val="20"/>
      <w:lang w:eastAsia="fr-FR"/>
      <w14:ligatures w14:val="none"/>
    </w:rPr>
  </w:style>
  <w:style w:type="character" w:customStyle="1" w:styleId="Titre2Car">
    <w:name w:val="Titre 2 Car"/>
    <w:basedOn w:val="Policepardfaut"/>
    <w:link w:val="Titre2"/>
    <w:uiPriority w:val="9"/>
    <w:rsid w:val="00CB33EC"/>
    <w:rPr>
      <w:rFonts w:ascii="Calibri" w:eastAsiaTheme="majorEastAsia" w:hAnsi="Calibri" w:cstheme="majorBidi"/>
      <w:b/>
      <w:color w:val="000000" w:themeColor="text1"/>
      <w:kern w:val="0"/>
      <w:sz w:val="26"/>
      <w:szCs w:val="26"/>
      <w:lang w:eastAsia="fr-FR"/>
      <w14:ligatures w14:val="none"/>
    </w:rPr>
  </w:style>
  <w:style w:type="character" w:customStyle="1" w:styleId="Titre7Car">
    <w:name w:val="Titre 7 Car"/>
    <w:basedOn w:val="Policepardfaut"/>
    <w:link w:val="Titre7"/>
    <w:uiPriority w:val="9"/>
    <w:semiHidden/>
    <w:rsid w:val="00CB33EC"/>
    <w:rPr>
      <w:rFonts w:asciiTheme="majorHAnsi" w:eastAsiaTheme="majorEastAsia" w:hAnsiTheme="majorHAnsi" w:cstheme="majorBidi"/>
      <w:i/>
      <w:iCs/>
      <w:color w:val="1F3763" w:themeColor="accent1" w:themeShade="7F"/>
      <w:kern w:val="0"/>
      <w:sz w:val="22"/>
      <w:szCs w:val="22"/>
      <w:lang w:eastAsia="fr-FR"/>
      <w14:ligatures w14:val="none"/>
    </w:rPr>
  </w:style>
  <w:style w:type="character" w:customStyle="1" w:styleId="Titre8Car">
    <w:name w:val="Titre 8 Car"/>
    <w:basedOn w:val="Policepardfaut"/>
    <w:link w:val="Titre8"/>
    <w:uiPriority w:val="9"/>
    <w:semiHidden/>
    <w:rsid w:val="00CB33EC"/>
    <w:rPr>
      <w:rFonts w:asciiTheme="majorHAnsi" w:eastAsiaTheme="majorEastAsia" w:hAnsiTheme="majorHAnsi" w:cstheme="majorBidi"/>
      <w:color w:val="272727" w:themeColor="text1" w:themeTint="D8"/>
      <w:kern w:val="0"/>
      <w:sz w:val="21"/>
      <w:szCs w:val="21"/>
      <w:lang w:eastAsia="fr-FR"/>
      <w14:ligatures w14:val="none"/>
    </w:rPr>
  </w:style>
  <w:style w:type="character" w:customStyle="1" w:styleId="Titre9Car">
    <w:name w:val="Titre 9 Car"/>
    <w:basedOn w:val="Policepardfaut"/>
    <w:link w:val="Titre9"/>
    <w:uiPriority w:val="9"/>
    <w:semiHidden/>
    <w:rsid w:val="00CB33EC"/>
    <w:rPr>
      <w:rFonts w:asciiTheme="majorHAnsi" w:eastAsiaTheme="majorEastAsia" w:hAnsiTheme="majorHAnsi" w:cstheme="majorBidi"/>
      <w:i/>
      <w:iCs/>
      <w:color w:val="272727" w:themeColor="text1" w:themeTint="D8"/>
      <w:kern w:val="0"/>
      <w:sz w:val="21"/>
      <w:szCs w:val="21"/>
      <w:lang w:eastAsia="fr-FR"/>
      <w14:ligatures w14:val="none"/>
    </w:rPr>
  </w:style>
  <w:style w:type="numbering" w:customStyle="1" w:styleId="Listeactuelle1">
    <w:name w:val="Liste actuelle1"/>
    <w:uiPriority w:val="99"/>
    <w:rsid w:val="00CB33EC"/>
    <w:pPr>
      <w:numPr>
        <w:numId w:val="26"/>
      </w:numPr>
    </w:pPr>
  </w:style>
  <w:style w:type="numbering" w:customStyle="1" w:styleId="Listeactuelle2">
    <w:name w:val="Liste actuelle2"/>
    <w:uiPriority w:val="99"/>
    <w:rsid w:val="00CB33EC"/>
    <w:pPr>
      <w:numPr>
        <w:numId w:val="28"/>
      </w:numPr>
    </w:pPr>
  </w:style>
  <w:style w:type="numbering" w:customStyle="1" w:styleId="Listeactuelle3">
    <w:name w:val="Liste actuelle3"/>
    <w:uiPriority w:val="99"/>
    <w:rsid w:val="00CB33E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15</Pages>
  <Words>5893</Words>
  <Characters>32416</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Lecuyer</dc:creator>
  <cp:keywords/>
  <dc:description/>
  <cp:lastModifiedBy>Ferrari</cp:lastModifiedBy>
  <cp:revision>79</cp:revision>
  <dcterms:created xsi:type="dcterms:W3CDTF">2026-01-20T08:45:00Z</dcterms:created>
  <dcterms:modified xsi:type="dcterms:W3CDTF">2026-01-26T09:00:00Z</dcterms:modified>
</cp:coreProperties>
</file>